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F2" w:rsidRDefault="009911F2" w:rsidP="00CE26A2">
      <w:pPr>
        <w:jc w:val="center"/>
        <w:rPr>
          <w:b/>
          <w:sz w:val="52"/>
          <w:szCs w:val="52"/>
        </w:rPr>
      </w:pPr>
      <w:r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1175657" cy="1210981"/>
            <wp:effectExtent l="0" t="0" r="5715" b="8255"/>
            <wp:docPr id="1" name="Рисунок 1" descr="FNS-logo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-logo_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82" cy="121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FB" w:rsidRDefault="009670FB" w:rsidP="00CE26A2">
      <w:pPr>
        <w:jc w:val="center"/>
        <w:rPr>
          <w:b/>
          <w:sz w:val="52"/>
          <w:szCs w:val="52"/>
        </w:rPr>
      </w:pPr>
    </w:p>
    <w:p w:rsidR="00CA0639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Новый порядок налогообложения имущества организаций</w:t>
      </w:r>
    </w:p>
    <w:p w:rsidR="0089592A" w:rsidRDefault="0089592A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592A" w:rsidRPr="0089592A" w:rsidRDefault="00374292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7429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сверить сведения об объектах налогообложения организаций</w:t>
      </w:r>
    </w:p>
    <w:p w:rsidR="00CA0639" w:rsidRDefault="00CA0639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0639" w:rsidRPr="00CA0639" w:rsidRDefault="00CA0639" w:rsidP="00CA063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4292" w:rsidRPr="00374292" w:rsidRDefault="00CA0639" w:rsidP="00374292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374292" w:rsidRPr="00374292">
        <w:rPr>
          <w:sz w:val="32"/>
          <w:szCs w:val="32"/>
        </w:rPr>
        <w:t xml:space="preserve">С 2021 года вступают в силу пункты 16, 17, 25 и 26 статьи 1 </w:t>
      </w:r>
      <w:hyperlink r:id="rId8" w:tgtFrame="_blank" w:history="1">
        <w:r w:rsidR="00374292" w:rsidRPr="00374292">
          <w:rPr>
            <w:rStyle w:val="a5"/>
            <w:sz w:val="32"/>
            <w:szCs w:val="32"/>
          </w:rPr>
          <w:t>Федерального закона от 15.04.2019 № 63-ФЗ</w:t>
        </w:r>
      </w:hyperlink>
      <w:r w:rsidR="00374292" w:rsidRPr="00374292">
        <w:rPr>
          <w:sz w:val="32"/>
          <w:szCs w:val="32"/>
        </w:rPr>
        <w:t xml:space="preserve">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отменяющие представление в налоговые</w:t>
      </w:r>
      <w:proofErr w:type="gramEnd"/>
      <w:r w:rsidR="00374292" w:rsidRPr="00374292">
        <w:rPr>
          <w:sz w:val="32"/>
          <w:szCs w:val="32"/>
        </w:rPr>
        <w:t xml:space="preserve"> органы налоговых деклараций по транспортному налогу и земельному налогу за налоговый период 2020 года и последующие налоговые периоды.</w:t>
      </w:r>
    </w:p>
    <w:p w:rsidR="00374292" w:rsidRPr="00374292" w:rsidRDefault="00374292" w:rsidP="00374292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374292">
        <w:rPr>
          <w:sz w:val="32"/>
          <w:szCs w:val="32"/>
        </w:rPr>
        <w:t xml:space="preserve">Одновременно вводится порядок направления налогоплательщикам-организациям (их обособленным подразделениям) сообщений налоговых органов об исчисленной сумме указанных налогов. </w:t>
      </w:r>
    </w:p>
    <w:p w:rsidR="00374292" w:rsidRPr="00374292" w:rsidRDefault="00374292" w:rsidP="00374292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74292">
        <w:rPr>
          <w:sz w:val="32"/>
          <w:szCs w:val="32"/>
        </w:rPr>
        <w:t xml:space="preserve">Для подготовки </w:t>
      </w:r>
      <w:proofErr w:type="gramStart"/>
      <w:r w:rsidRPr="00374292">
        <w:rPr>
          <w:sz w:val="32"/>
          <w:szCs w:val="32"/>
        </w:rPr>
        <w:t>ко</w:t>
      </w:r>
      <w:proofErr w:type="gramEnd"/>
      <w:r w:rsidRPr="00374292">
        <w:rPr>
          <w:sz w:val="32"/>
          <w:szCs w:val="32"/>
        </w:rPr>
        <w:t xml:space="preserve"> вступлению в силу перечисленных законоположений налогоплательщики-организации, имеющие объекты налогообложения по транспортному и (или) земельному налогам, могут по своему усмотрению обратиться в налоговые инспекции по месту нахождения указанных объектов за проведением сверки сведений, содержащихся в Едином государственном реестре налогоплательщиков, об указанных объектах.</w:t>
      </w:r>
    </w:p>
    <w:p w:rsidR="00374292" w:rsidRPr="00374292" w:rsidRDefault="00374292" w:rsidP="00374292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374292">
        <w:rPr>
          <w:sz w:val="32"/>
          <w:szCs w:val="32"/>
        </w:rPr>
        <w:t xml:space="preserve">Для проведения сверки целесообразно запросить в налоговом органе выписку из Единого государственного реестра налогоплательщиков о своей организации с указанием всех учтенных транспортных средств и земельных участков. Такая выписка предоставляется бесплатно. </w:t>
      </w:r>
    </w:p>
    <w:p w:rsidR="00374292" w:rsidRPr="00374292" w:rsidRDefault="00374292" w:rsidP="00374292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Pr="00374292">
        <w:rPr>
          <w:sz w:val="32"/>
          <w:szCs w:val="32"/>
        </w:rPr>
        <w:t xml:space="preserve">В случае выявления расхождений сведений, содержащихся в Едином государственном реестре налогоплательщиков, со сведениями органов (организаций, должностных лиц), осуществляющих </w:t>
      </w:r>
      <w:r w:rsidRPr="00374292">
        <w:rPr>
          <w:sz w:val="32"/>
          <w:szCs w:val="32"/>
        </w:rPr>
        <w:lastRenderedPageBreak/>
        <w:t xml:space="preserve">государственную регистрацию транспортных средств, государственный кадастровый учет и государственную регистрацию прав на недвижимое имущество, в </w:t>
      </w:r>
      <w:proofErr w:type="spellStart"/>
      <w:r w:rsidRPr="00374292">
        <w:rPr>
          <w:sz w:val="32"/>
          <w:szCs w:val="32"/>
        </w:rPr>
        <w:t>т.ч</w:t>
      </w:r>
      <w:proofErr w:type="spellEnd"/>
      <w:r w:rsidRPr="00374292">
        <w:rPr>
          <w:sz w:val="32"/>
          <w:szCs w:val="32"/>
        </w:rPr>
        <w:t>. Государственного реестра транспортных средств, реестра маломерных судов, Государственного судового реестра, Российского международного реестра судов, Российского открытого реестра судов, Государственного реестра гражданских воздушных судов Российской Федерации</w:t>
      </w:r>
      <w:proofErr w:type="gramEnd"/>
      <w:r w:rsidRPr="00374292">
        <w:rPr>
          <w:sz w:val="32"/>
          <w:szCs w:val="32"/>
        </w:rPr>
        <w:t xml:space="preserve">, </w:t>
      </w:r>
      <w:proofErr w:type="gramStart"/>
      <w:r w:rsidRPr="00374292">
        <w:rPr>
          <w:sz w:val="32"/>
          <w:szCs w:val="32"/>
        </w:rPr>
        <w:t xml:space="preserve">Единого государственного реестра прав на воздушные суда и сделок с ними, Единого государственного реестра недвижимости и иных государственных информационных ресурсов (реестров), целесообразно сообщить об этом в налоговый орган по месту нахождения недвижимого имущества (земельного участка) и транспортного средства с указанием сведений, в отношении которых выявлены расхождения (по возможности к указанному сообщению можно приложить документы-основания о характеристиках соответствующих объектов). </w:t>
      </w:r>
      <w:proofErr w:type="gramEnd"/>
    </w:p>
    <w:p w:rsidR="00374292" w:rsidRPr="00374292" w:rsidRDefault="00374292" w:rsidP="00374292">
      <w:pPr>
        <w:pStyle w:val="aa"/>
        <w:spacing w:before="0" w:beforeAutospacing="0" w:after="0" w:afterAutospacing="0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bookmarkStart w:id="0" w:name="_GoBack"/>
      <w:bookmarkEnd w:id="0"/>
      <w:proofErr w:type="gramStart"/>
      <w:r w:rsidRPr="00374292">
        <w:rPr>
          <w:sz w:val="32"/>
          <w:szCs w:val="32"/>
        </w:rPr>
        <w:t xml:space="preserve">После проверки (сверки) представленной информации налоговым органом будут приняты меры по актуализации сведений Единого государственного реестра налогоплательщиков при наличии оснований, предусмотренных статьями </w:t>
      </w:r>
      <w:hyperlink r:id="rId9" w:tgtFrame="_blank" w:history="1">
        <w:r w:rsidRPr="00374292">
          <w:rPr>
            <w:rStyle w:val="a5"/>
            <w:sz w:val="32"/>
            <w:szCs w:val="32"/>
          </w:rPr>
          <w:t>83</w:t>
        </w:r>
      </w:hyperlink>
      <w:r w:rsidRPr="00374292">
        <w:rPr>
          <w:sz w:val="32"/>
          <w:szCs w:val="32"/>
        </w:rPr>
        <w:t xml:space="preserve">, </w:t>
      </w:r>
      <w:hyperlink r:id="rId10" w:tgtFrame="_blank" w:history="1">
        <w:r w:rsidRPr="00374292">
          <w:rPr>
            <w:rStyle w:val="a5"/>
            <w:sz w:val="32"/>
            <w:szCs w:val="32"/>
          </w:rPr>
          <w:t>84</w:t>
        </w:r>
      </w:hyperlink>
      <w:r w:rsidRPr="00374292">
        <w:rPr>
          <w:sz w:val="32"/>
          <w:szCs w:val="32"/>
        </w:rPr>
        <w:t xml:space="preserve"> Налогового кодекса Российской Федерации, о чем будет информирован налогоплательщик.</w:t>
      </w:r>
      <w:proofErr w:type="gramEnd"/>
    </w:p>
    <w:p w:rsidR="00BF418E" w:rsidRDefault="00BF418E" w:rsidP="00374292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9670FB" w:rsidRDefault="009670FB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</w:p>
    <w:p w:rsidR="009670FB" w:rsidRDefault="009670FB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</w:p>
    <w:p w:rsidR="00564A12" w:rsidRDefault="00A33994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Отдел работы с налогоплательщиками</w:t>
      </w:r>
    </w:p>
    <w:p w:rsidR="00A33994" w:rsidRPr="00564A12" w:rsidRDefault="00A33994" w:rsidP="00A33994">
      <w:pPr>
        <w:spacing w:after="0" w:line="240" w:lineRule="auto"/>
        <w:ind w:left="-993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ИФНС России по г. Находке Приморского края</w:t>
      </w:r>
    </w:p>
    <w:p w:rsidR="00564A12" w:rsidRPr="00564A12" w:rsidRDefault="00564A12" w:rsidP="00564A12">
      <w:pPr>
        <w:tabs>
          <w:tab w:val="left" w:pos="4200"/>
        </w:tabs>
        <w:ind w:left="-993"/>
        <w:rPr>
          <w:rFonts w:ascii="Arial" w:hAnsi="Arial" w:cs="Arial"/>
          <w:i/>
          <w:sz w:val="24"/>
          <w:szCs w:val="24"/>
        </w:rPr>
      </w:pPr>
      <w:r w:rsidRPr="00564A12">
        <w:rPr>
          <w:rFonts w:ascii="Arial" w:hAnsi="Arial" w:cs="Arial"/>
          <w:i/>
          <w:sz w:val="24"/>
          <w:szCs w:val="24"/>
        </w:rPr>
        <w:tab/>
      </w:r>
    </w:p>
    <w:sectPr w:rsidR="00564A12" w:rsidRPr="00564A12" w:rsidSect="00A3399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A6" w:rsidRDefault="00A31EA6" w:rsidP="00024B8D">
      <w:pPr>
        <w:spacing w:after="0" w:line="240" w:lineRule="auto"/>
      </w:pPr>
      <w:r>
        <w:separator/>
      </w:r>
    </w:p>
  </w:endnote>
  <w:endnote w:type="continuationSeparator" w:id="0">
    <w:p w:rsidR="00A31EA6" w:rsidRDefault="00A31EA6" w:rsidP="0002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A6" w:rsidRDefault="00A31EA6" w:rsidP="00024B8D">
      <w:pPr>
        <w:spacing w:after="0" w:line="240" w:lineRule="auto"/>
      </w:pPr>
      <w:r>
        <w:separator/>
      </w:r>
    </w:p>
  </w:footnote>
  <w:footnote w:type="continuationSeparator" w:id="0">
    <w:p w:rsidR="00A31EA6" w:rsidRDefault="00A31EA6" w:rsidP="0002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D3"/>
    <w:rsid w:val="00024B8D"/>
    <w:rsid w:val="00047D2A"/>
    <w:rsid w:val="00057956"/>
    <w:rsid w:val="00091C68"/>
    <w:rsid w:val="000D3804"/>
    <w:rsid w:val="000E19D3"/>
    <w:rsid w:val="001F055F"/>
    <w:rsid w:val="0029015B"/>
    <w:rsid w:val="002C54CF"/>
    <w:rsid w:val="00374292"/>
    <w:rsid w:val="003A739C"/>
    <w:rsid w:val="004A5729"/>
    <w:rsid w:val="004E583F"/>
    <w:rsid w:val="004E79A8"/>
    <w:rsid w:val="00564A12"/>
    <w:rsid w:val="006056DB"/>
    <w:rsid w:val="006C0E3D"/>
    <w:rsid w:val="006D4536"/>
    <w:rsid w:val="0071742A"/>
    <w:rsid w:val="007559E6"/>
    <w:rsid w:val="007B5095"/>
    <w:rsid w:val="00863B6D"/>
    <w:rsid w:val="0089592A"/>
    <w:rsid w:val="009670FB"/>
    <w:rsid w:val="009911F2"/>
    <w:rsid w:val="00A22A67"/>
    <w:rsid w:val="00A31EA6"/>
    <w:rsid w:val="00A33994"/>
    <w:rsid w:val="00AF5C86"/>
    <w:rsid w:val="00B02CD8"/>
    <w:rsid w:val="00B76F49"/>
    <w:rsid w:val="00BF418E"/>
    <w:rsid w:val="00CA0639"/>
    <w:rsid w:val="00CE26A2"/>
    <w:rsid w:val="00E35AF7"/>
    <w:rsid w:val="00F072BA"/>
    <w:rsid w:val="00F31ABE"/>
    <w:rsid w:val="00F34B26"/>
    <w:rsid w:val="00F97BEF"/>
    <w:rsid w:val="00FC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5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8D"/>
  </w:style>
  <w:style w:type="paragraph" w:styleId="a8">
    <w:name w:val="footer"/>
    <w:basedOn w:val="a"/>
    <w:link w:val="a9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8D"/>
  </w:style>
  <w:style w:type="paragraph" w:styleId="aa">
    <w:name w:val="Normal (Web)"/>
    <w:basedOn w:val="a"/>
    <w:uiPriority w:val="99"/>
    <w:unhideWhenUsed/>
    <w:rsid w:val="005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ниторинг"/>
    <w:basedOn w:val="a"/>
    <w:link w:val="ac"/>
    <w:qFormat/>
    <w:rsid w:val="00E35AF7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мониторинг Знак"/>
    <w:basedOn w:val="a0"/>
    <w:link w:val="ab"/>
    <w:rsid w:val="00E35A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50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B8D"/>
  </w:style>
  <w:style w:type="paragraph" w:styleId="a8">
    <w:name w:val="footer"/>
    <w:basedOn w:val="a"/>
    <w:link w:val="a9"/>
    <w:uiPriority w:val="99"/>
    <w:unhideWhenUsed/>
    <w:rsid w:val="0002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B8D"/>
  </w:style>
  <w:style w:type="paragraph" w:styleId="aa">
    <w:name w:val="Normal (Web)"/>
    <w:basedOn w:val="a"/>
    <w:uiPriority w:val="99"/>
    <w:unhideWhenUsed/>
    <w:rsid w:val="0056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мониторинг"/>
    <w:basedOn w:val="a"/>
    <w:link w:val="ac"/>
    <w:qFormat/>
    <w:rsid w:val="00E35AF7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мониторинг Знак"/>
    <w:basedOn w:val="a0"/>
    <w:link w:val="ab"/>
    <w:rsid w:val="00E35AF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04150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log.garant.ru/fns/nk/a11131f5cf78675abbc4ce3b94cba3f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garant.ru/fns/nk/9d89ba6e3e633b0dac1a8caf5a5a81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Катана Светлана Вячеславовна</dc:creator>
  <cp:lastModifiedBy>2508-00-630</cp:lastModifiedBy>
  <cp:revision>2</cp:revision>
  <cp:lastPrinted>2020-02-10T01:32:00Z</cp:lastPrinted>
  <dcterms:created xsi:type="dcterms:W3CDTF">2020-03-10T01:49:00Z</dcterms:created>
  <dcterms:modified xsi:type="dcterms:W3CDTF">2020-03-10T01:49:00Z</dcterms:modified>
</cp:coreProperties>
</file>