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857DE" w:rsidRDefault="00B857DE" w:rsidP="00B857DE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B95DF9" w:rsidRDefault="00B95DF9" w:rsidP="00B857DE">
      <w:pPr>
        <w:jc w:val="center"/>
        <w:rPr>
          <w:b/>
          <w:sz w:val="26"/>
          <w:szCs w:val="26"/>
        </w:rPr>
      </w:pPr>
    </w:p>
    <w:p w:rsidR="00B857DE" w:rsidRDefault="00B857DE" w:rsidP="00B857DE">
      <w:pPr>
        <w:jc w:val="center"/>
        <w:rPr>
          <w:b/>
          <w:sz w:val="26"/>
          <w:szCs w:val="26"/>
        </w:rPr>
      </w:pPr>
      <w:r w:rsidRPr="00FC00B1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УНИЦИПАЛЬНАЯ ПРОГРАММА</w:t>
      </w:r>
      <w:r w:rsidRPr="00FC00B1">
        <w:rPr>
          <w:b/>
          <w:sz w:val="26"/>
          <w:szCs w:val="26"/>
        </w:rPr>
        <w:t xml:space="preserve"> </w:t>
      </w:r>
    </w:p>
    <w:p w:rsidR="00B857DE" w:rsidRDefault="00B857DE" w:rsidP="00B857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C00B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 </w:t>
      </w:r>
    </w:p>
    <w:p w:rsidR="00B857DE" w:rsidRDefault="00B857DE" w:rsidP="00B857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организаций </w:t>
      </w:r>
      <w:r w:rsidRPr="00FC00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Находкинского  </w:t>
      </w:r>
      <w:r w:rsidRPr="00FC00B1">
        <w:rPr>
          <w:b/>
          <w:sz w:val="26"/>
          <w:szCs w:val="26"/>
        </w:rPr>
        <w:t>городского округа</w:t>
      </w:r>
      <w:r>
        <w:rPr>
          <w:b/>
          <w:sz w:val="26"/>
          <w:szCs w:val="26"/>
        </w:rPr>
        <w:t>»</w:t>
      </w:r>
      <w:r w:rsidRPr="00FC00B1">
        <w:rPr>
          <w:b/>
          <w:sz w:val="26"/>
          <w:szCs w:val="26"/>
        </w:rPr>
        <w:t xml:space="preserve"> </w:t>
      </w:r>
    </w:p>
    <w:p w:rsidR="00B857DE" w:rsidRDefault="00B857DE" w:rsidP="00B857DE">
      <w:pPr>
        <w:jc w:val="center"/>
        <w:rPr>
          <w:b/>
          <w:sz w:val="26"/>
          <w:szCs w:val="26"/>
        </w:rPr>
      </w:pPr>
      <w:r w:rsidRPr="00FC00B1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8</w:t>
      </w:r>
      <w:r w:rsidRPr="00FC00B1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20</w:t>
      </w:r>
      <w:r w:rsidRPr="00FC00B1">
        <w:rPr>
          <w:b/>
          <w:sz w:val="26"/>
          <w:szCs w:val="26"/>
        </w:rPr>
        <w:t xml:space="preserve"> годы</w:t>
      </w:r>
      <w:r>
        <w:rPr>
          <w:b/>
          <w:sz w:val="26"/>
          <w:szCs w:val="26"/>
        </w:rPr>
        <w:t xml:space="preserve"> и на период до 2025 года»</w:t>
      </w:r>
    </w:p>
    <w:p w:rsidR="00B857DE" w:rsidRDefault="00B857DE" w:rsidP="00B857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- м</w:t>
      </w:r>
      <w:r w:rsidRPr="00FC00B1">
        <w:rPr>
          <w:b/>
          <w:sz w:val="26"/>
          <w:szCs w:val="26"/>
        </w:rPr>
        <w:t>ун</w:t>
      </w:r>
      <w:r w:rsidRPr="001F3CEF">
        <w:rPr>
          <w:b/>
          <w:sz w:val="26"/>
          <w:szCs w:val="26"/>
        </w:rPr>
        <w:t>иципальная</w:t>
      </w:r>
      <w:r w:rsidRPr="00FC00B1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>)</w:t>
      </w:r>
    </w:p>
    <w:p w:rsidR="00B857DE" w:rsidRDefault="00B857DE" w:rsidP="00B857DE">
      <w:pPr>
        <w:jc w:val="center"/>
        <w:rPr>
          <w:b/>
          <w:sz w:val="26"/>
          <w:szCs w:val="26"/>
        </w:rPr>
      </w:pPr>
    </w:p>
    <w:p w:rsidR="00B95DF9" w:rsidRPr="00D17CFB" w:rsidRDefault="00B95DF9" w:rsidP="00B857DE">
      <w:pPr>
        <w:jc w:val="center"/>
        <w:rPr>
          <w:b/>
          <w:sz w:val="26"/>
          <w:szCs w:val="26"/>
        </w:rPr>
      </w:pPr>
    </w:p>
    <w:p w:rsidR="00B857DE" w:rsidRDefault="00B857DE" w:rsidP="00B857DE">
      <w:pPr>
        <w:pStyle w:val="a5"/>
        <w:numPr>
          <w:ilvl w:val="0"/>
          <w:numId w:val="1"/>
        </w:numPr>
        <w:tabs>
          <w:tab w:val="left" w:pos="3453"/>
        </w:tabs>
        <w:jc w:val="center"/>
        <w:rPr>
          <w:b/>
          <w:sz w:val="26"/>
          <w:szCs w:val="26"/>
        </w:rPr>
      </w:pPr>
      <w:r w:rsidRPr="00A06653">
        <w:rPr>
          <w:b/>
          <w:sz w:val="26"/>
          <w:szCs w:val="26"/>
        </w:rPr>
        <w:t>Паспорт муниципальной программы</w:t>
      </w:r>
    </w:p>
    <w:p w:rsidR="00B95DF9" w:rsidRPr="006120C8" w:rsidRDefault="00B95DF9" w:rsidP="00B95DF9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 xml:space="preserve">Ответственный </w:t>
            </w:r>
            <w:r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65B2F">
              <w:rPr>
                <w:sz w:val="26"/>
                <w:szCs w:val="26"/>
              </w:rPr>
              <w:t>тдел по связям с общественностью</w:t>
            </w:r>
            <w:r>
              <w:rPr>
                <w:sz w:val="26"/>
                <w:szCs w:val="26"/>
              </w:rPr>
              <w:t xml:space="preserve"> управления </w:t>
            </w:r>
            <w:r w:rsidRPr="00265B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внешних коммуникаций </w:t>
            </w:r>
            <w:r w:rsidRPr="00265B2F">
              <w:rPr>
                <w:sz w:val="26"/>
                <w:szCs w:val="26"/>
              </w:rPr>
              <w:t>администрации Находкинского городского округа (далее  – отдел)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7EBB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7EBB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857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B857DE" w:rsidRPr="00FC00B1" w:rsidTr="0073647A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С</w:t>
            </w:r>
            <w:r w:rsidRPr="009F08B3">
              <w:rPr>
                <w:sz w:val="26"/>
                <w:szCs w:val="26"/>
              </w:rPr>
              <w:t>труктура муниципальной программы</w:t>
            </w:r>
            <w:r w:rsidRPr="00265B2F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jc w:val="both"/>
            </w:pPr>
            <w:r>
              <w:rPr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FD5762" w:rsidRDefault="00B857DE" w:rsidP="007364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совершенствование деятельности </w:t>
            </w:r>
            <w:r w:rsidRPr="00FD5762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6B4B">
              <w:rPr>
                <w:rFonts w:ascii="Times New Roman" w:hAnsi="Times New Roman" w:cs="Times New Roman"/>
                <w:sz w:val="26"/>
                <w:szCs w:val="26"/>
              </w:rPr>
              <w:t>(далее – СО НКО)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Default="00B857DE" w:rsidP="007364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выявление и поддержка социально значимых инициатив СО НКО;</w:t>
            </w:r>
          </w:p>
          <w:p w:rsidR="00B857DE" w:rsidRPr="00CC4DDE" w:rsidRDefault="00B857DE" w:rsidP="007364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деятельности СО НКО.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857DE" w:rsidRPr="00FD5762" w:rsidRDefault="0080292C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реализуется в 2018 – 2025 годах в один этап.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Целевые показатели</w:t>
            </w:r>
            <w:r>
              <w:rPr>
                <w:sz w:val="26"/>
                <w:szCs w:val="26"/>
              </w:rPr>
              <w:t xml:space="preserve"> (</w:t>
            </w:r>
            <w:r w:rsidRPr="00265B2F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65B2F">
              <w:rPr>
                <w:sz w:val="26"/>
                <w:szCs w:val="26"/>
              </w:rPr>
              <w:t xml:space="preserve"> 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B95DF9" w:rsidRDefault="00B95DF9" w:rsidP="00B95DF9">
            <w:pPr>
              <w:pStyle w:val="a3"/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количество СО НКО, получивших</w:t>
            </w:r>
            <w:r w:rsidRPr="00FD5762">
              <w:rPr>
                <w:sz w:val="26"/>
                <w:szCs w:val="26"/>
              </w:rPr>
              <w:t xml:space="preserve"> финансов</w:t>
            </w:r>
            <w:r>
              <w:rPr>
                <w:sz w:val="26"/>
                <w:szCs w:val="26"/>
              </w:rPr>
              <w:t>ую</w:t>
            </w:r>
            <w:r w:rsidRPr="00FD5762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 xml:space="preserve">у </w:t>
            </w: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t xml:space="preserve"> </w:t>
            </w:r>
            <w:r w:rsidRPr="000E6C06">
              <w:rPr>
                <w:sz w:val="26"/>
                <w:szCs w:val="26"/>
              </w:rPr>
              <w:t xml:space="preserve">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0E6C06">
              <w:rPr>
                <w:sz w:val="26"/>
                <w:szCs w:val="26"/>
              </w:rPr>
              <w:t>бюджета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CC4DDE">
              <w:rPr>
                <w:sz w:val="26"/>
                <w:szCs w:val="26"/>
              </w:rPr>
              <w:t xml:space="preserve">(далее – </w:t>
            </w:r>
            <w:r>
              <w:rPr>
                <w:sz w:val="26"/>
                <w:szCs w:val="26"/>
              </w:rPr>
              <w:t>мест</w:t>
            </w:r>
            <w:r w:rsidRPr="00CC4DDE">
              <w:rPr>
                <w:sz w:val="26"/>
                <w:szCs w:val="26"/>
              </w:rPr>
              <w:t xml:space="preserve">ного бюджета) </w:t>
            </w:r>
            <w:r>
              <w:rPr>
                <w:sz w:val="26"/>
                <w:szCs w:val="26"/>
              </w:rPr>
              <w:t xml:space="preserve"> </w:t>
            </w:r>
            <w:r w:rsidRPr="00FD5762">
              <w:rPr>
                <w:sz w:val="26"/>
                <w:szCs w:val="26"/>
              </w:rPr>
              <w:t>(2018 г.</w:t>
            </w:r>
            <w:r>
              <w:t xml:space="preserve"> </w:t>
            </w:r>
            <w:r w:rsidRPr="00090E5C">
              <w:rPr>
                <w:sz w:val="26"/>
                <w:szCs w:val="26"/>
              </w:rPr>
              <w:t>&lt;=</w:t>
            </w:r>
            <w:r w:rsidRPr="00FD57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2019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 xml:space="preserve">, 2020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 xml:space="preserve">5, 2021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2022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2023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2024 г.</w:t>
            </w:r>
            <w:r w:rsidRPr="00090E5C">
              <w:rPr>
                <w:sz w:val="26"/>
                <w:szCs w:val="26"/>
              </w:rPr>
              <w:t xml:space="preserve"> 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2025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  <w:r w:rsidRPr="00FD576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B857DE" w:rsidRPr="008F7960" w:rsidRDefault="00B95DF9" w:rsidP="00B95DF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</w:t>
            </w:r>
            <w:r w:rsidRPr="008F7960">
              <w:rPr>
                <w:sz w:val="26"/>
                <w:szCs w:val="26"/>
              </w:rPr>
              <w:t>оличество СО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НКО, подавших заявки на участие в конкурсах социально значимых проектов краевого </w:t>
            </w:r>
            <w:r>
              <w:rPr>
                <w:sz w:val="26"/>
                <w:szCs w:val="26"/>
              </w:rPr>
              <w:t xml:space="preserve">и федерального </w:t>
            </w:r>
            <w:r w:rsidRPr="008F7960">
              <w:rPr>
                <w:sz w:val="26"/>
                <w:szCs w:val="26"/>
              </w:rPr>
              <w:t>уровня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(2018 г. &lt;= 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2019 г. 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, 2020 г. &lt;=</w:t>
            </w:r>
            <w:r>
              <w:rPr>
                <w:sz w:val="26"/>
                <w:szCs w:val="26"/>
              </w:rPr>
              <w:t xml:space="preserve">3, 2021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2022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2023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2024 г.</w:t>
            </w:r>
            <w:r w:rsidRPr="00090E5C">
              <w:rPr>
                <w:sz w:val="26"/>
                <w:szCs w:val="26"/>
              </w:rPr>
              <w:t xml:space="preserve"> &lt;=</w:t>
            </w:r>
            <w:r>
              <w:rPr>
                <w:sz w:val="26"/>
                <w:szCs w:val="26"/>
              </w:rPr>
              <w:t>3</w:t>
            </w:r>
            <w:r w:rsidRPr="00FD576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2025 г. </w:t>
            </w:r>
            <w:r w:rsidRPr="00090E5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  <w:r w:rsidRPr="008F7960">
              <w:rPr>
                <w:sz w:val="26"/>
                <w:szCs w:val="26"/>
              </w:rPr>
              <w:t>)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Прогнозная оценка расходов муниципальной программы за счет федерального бюджета, краевого бюджета, бюджета Находкинского </w:t>
            </w:r>
            <w:r w:rsidRPr="00CC4DDE">
              <w:rPr>
                <w:sz w:val="26"/>
                <w:szCs w:val="26"/>
              </w:rPr>
              <w:lastRenderedPageBreak/>
              <w:t>городского округа</w:t>
            </w:r>
            <w:proofErr w:type="gramStart"/>
            <w:r w:rsidRPr="00CC4DDE">
              <w:rPr>
                <w:sz w:val="26"/>
                <w:szCs w:val="26"/>
              </w:rPr>
              <w:t xml:space="preserve"> ,</w:t>
            </w:r>
            <w:proofErr w:type="gramEnd"/>
            <w:r w:rsidRPr="00CC4DDE">
              <w:rPr>
                <w:sz w:val="26"/>
                <w:szCs w:val="26"/>
              </w:rPr>
              <w:t xml:space="preserve"> в том числе по годам  </w:t>
            </w:r>
          </w:p>
        </w:tc>
        <w:tc>
          <w:tcPr>
            <w:tcW w:w="5245" w:type="dxa"/>
            <w:shd w:val="clear" w:color="auto" w:fill="auto"/>
          </w:tcPr>
          <w:p w:rsidR="00B95DF9" w:rsidRPr="00C320F4" w:rsidRDefault="00B95DF9" w:rsidP="00B95DF9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lastRenderedPageBreak/>
              <w:t xml:space="preserve">Общий объем финансирования мероприятий </w:t>
            </w:r>
            <w:r w:rsidRPr="00C320F4">
              <w:rPr>
                <w:sz w:val="26"/>
                <w:szCs w:val="26"/>
              </w:rPr>
              <w:t xml:space="preserve">муниципальной программы за счет средств местного бюджета составляет </w:t>
            </w:r>
            <w:r w:rsidRPr="00200139">
              <w:rPr>
                <w:sz w:val="26"/>
                <w:szCs w:val="26"/>
              </w:rPr>
              <w:t xml:space="preserve">13 425,0 </w:t>
            </w:r>
            <w:r w:rsidRPr="00C320F4">
              <w:rPr>
                <w:sz w:val="26"/>
                <w:szCs w:val="26"/>
              </w:rPr>
              <w:t xml:space="preserve">тыс. руб. (в текущих ценах каждого года), в том </w:t>
            </w:r>
            <w:r w:rsidRPr="00C320F4">
              <w:rPr>
                <w:sz w:val="26"/>
                <w:szCs w:val="26"/>
              </w:rPr>
              <w:lastRenderedPageBreak/>
              <w:t>числе:</w:t>
            </w:r>
          </w:p>
          <w:p w:rsidR="00B95DF9" w:rsidRPr="00C320F4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2018 г. –  1175,0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Pr="00C320F4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2019 г. – </w:t>
            </w:r>
            <w:r>
              <w:rPr>
                <w:sz w:val="26"/>
                <w:szCs w:val="26"/>
              </w:rPr>
              <w:t>1750,0</w:t>
            </w:r>
            <w:r w:rsidR="00CA0C16">
              <w:rPr>
                <w:sz w:val="26"/>
                <w:szCs w:val="26"/>
              </w:rPr>
              <w:t xml:space="preserve"> </w:t>
            </w:r>
            <w:r w:rsidRPr="00C320F4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2020 г. – 1500,0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г. – 1800,0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</w:t>
            </w:r>
            <w:r w:rsidRPr="00C320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320F4">
              <w:rPr>
                <w:sz w:val="26"/>
                <w:szCs w:val="26"/>
              </w:rPr>
              <w:t xml:space="preserve">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- </w:t>
            </w:r>
            <w:r w:rsidRPr="00C320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320F4">
              <w:rPr>
                <w:sz w:val="26"/>
                <w:szCs w:val="26"/>
              </w:rPr>
              <w:t xml:space="preserve">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- </w:t>
            </w:r>
            <w:r w:rsidRPr="00C320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320F4">
              <w:rPr>
                <w:sz w:val="26"/>
                <w:szCs w:val="26"/>
              </w:rPr>
              <w:t xml:space="preserve">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857DE" w:rsidRPr="00CC4DDE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г. - </w:t>
            </w:r>
            <w:r w:rsidRPr="00C320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320F4">
              <w:rPr>
                <w:sz w:val="26"/>
                <w:szCs w:val="26"/>
              </w:rPr>
              <w:t xml:space="preserve">00,0 </w:t>
            </w:r>
            <w:r w:rsidR="00CA0C16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CC4DDE">
              <w:rPr>
                <w:sz w:val="26"/>
                <w:szCs w:val="26"/>
              </w:rPr>
              <w:t xml:space="preserve">, в том числе по годам  </w:t>
            </w:r>
          </w:p>
        </w:tc>
        <w:tc>
          <w:tcPr>
            <w:tcW w:w="5245" w:type="dxa"/>
            <w:shd w:val="clear" w:color="auto" w:fill="auto"/>
          </w:tcPr>
          <w:p w:rsidR="00B95DF9" w:rsidRPr="00C320F4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1B5D44">
              <w:rPr>
                <w:sz w:val="26"/>
                <w:szCs w:val="26"/>
              </w:rPr>
              <w:t xml:space="preserve">Общий объем финансирования мероприятий </w:t>
            </w:r>
            <w:r w:rsidRPr="00C320F4">
              <w:rPr>
                <w:sz w:val="26"/>
                <w:szCs w:val="26"/>
              </w:rPr>
              <w:t xml:space="preserve">муниципальной программы за счет средств местного бюджета составляет </w:t>
            </w:r>
            <w:r w:rsidR="00CA0C16">
              <w:rPr>
                <w:sz w:val="26"/>
                <w:szCs w:val="26"/>
              </w:rPr>
              <w:t>6</w:t>
            </w:r>
            <w:r w:rsidRPr="00200139">
              <w:rPr>
                <w:sz w:val="26"/>
                <w:szCs w:val="26"/>
              </w:rPr>
              <w:t xml:space="preserve"> 850,0 </w:t>
            </w:r>
            <w:r w:rsidRPr="00C320F4">
              <w:rPr>
                <w:sz w:val="26"/>
                <w:szCs w:val="26"/>
              </w:rPr>
              <w:t>тыс. руб. (в текущих ценах каждого года), в том числе:</w:t>
            </w:r>
          </w:p>
          <w:p w:rsidR="00B95DF9" w:rsidRPr="00C320F4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2018 г. –  1175,0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Pr="00C320F4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2019 г. – </w:t>
            </w:r>
            <w:r>
              <w:rPr>
                <w:sz w:val="26"/>
                <w:szCs w:val="26"/>
              </w:rPr>
              <w:t>1175,0</w:t>
            </w:r>
            <w:r w:rsidRPr="00C320F4">
              <w:rPr>
                <w:sz w:val="26"/>
                <w:szCs w:val="26"/>
              </w:rPr>
              <w:t xml:space="preserve">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320F4">
              <w:rPr>
                <w:sz w:val="26"/>
                <w:szCs w:val="26"/>
              </w:rPr>
              <w:t xml:space="preserve">2020 г. – 1500,0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1</w:t>
            </w:r>
            <w:r w:rsidR="00623C7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00,0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г. - </w:t>
            </w:r>
            <w:r w:rsidRPr="00C320F4">
              <w:rPr>
                <w:sz w:val="26"/>
                <w:szCs w:val="26"/>
              </w:rPr>
              <w:t>1</w:t>
            </w:r>
            <w:r w:rsidR="00623C72">
              <w:rPr>
                <w:sz w:val="26"/>
                <w:szCs w:val="26"/>
              </w:rPr>
              <w:t>5</w:t>
            </w:r>
            <w:r w:rsidRPr="00C320F4">
              <w:rPr>
                <w:sz w:val="26"/>
                <w:szCs w:val="26"/>
              </w:rPr>
              <w:t xml:space="preserve">00,0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</w:t>
            </w:r>
            <w:r w:rsidR="004A2CE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C320F4">
              <w:rPr>
                <w:sz w:val="26"/>
                <w:szCs w:val="26"/>
              </w:rPr>
              <w:t>0</w:t>
            </w:r>
            <w:r w:rsidR="004A2CE1">
              <w:rPr>
                <w:sz w:val="26"/>
                <w:szCs w:val="26"/>
              </w:rPr>
              <w:t>,0</w:t>
            </w:r>
            <w:r w:rsidRPr="00C320F4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95DF9" w:rsidRDefault="00B95DF9" w:rsidP="00B95DF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г. </w:t>
            </w:r>
            <w:r w:rsidR="004A2CE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C320F4">
              <w:rPr>
                <w:sz w:val="26"/>
                <w:szCs w:val="26"/>
              </w:rPr>
              <w:t>0</w:t>
            </w:r>
            <w:r w:rsidR="004A2CE1">
              <w:rPr>
                <w:sz w:val="26"/>
                <w:szCs w:val="26"/>
              </w:rPr>
              <w:t>,0</w:t>
            </w:r>
            <w:r w:rsidRPr="00C320F4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  <w:p w:rsidR="00B857DE" w:rsidRPr="00CC4DDE" w:rsidRDefault="00B95DF9" w:rsidP="00111B31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г. </w:t>
            </w:r>
            <w:r w:rsidR="004A2CE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C320F4">
              <w:rPr>
                <w:sz w:val="26"/>
                <w:szCs w:val="26"/>
              </w:rPr>
              <w:t>0</w:t>
            </w:r>
            <w:r w:rsidR="004A2CE1">
              <w:rPr>
                <w:sz w:val="26"/>
                <w:szCs w:val="26"/>
              </w:rPr>
              <w:t>,0</w:t>
            </w:r>
            <w:r w:rsidRPr="00C320F4">
              <w:rPr>
                <w:sz w:val="26"/>
                <w:szCs w:val="26"/>
              </w:rPr>
              <w:t xml:space="preserve"> </w:t>
            </w:r>
            <w:proofErr w:type="spellStart"/>
            <w:r w:rsidRPr="00C320F4">
              <w:rPr>
                <w:sz w:val="26"/>
                <w:szCs w:val="26"/>
              </w:rPr>
              <w:t>тыс</w:t>
            </w:r>
            <w:proofErr w:type="gramStart"/>
            <w:r w:rsidRPr="00C320F4">
              <w:rPr>
                <w:sz w:val="26"/>
                <w:szCs w:val="26"/>
              </w:rPr>
              <w:t>.р</w:t>
            </w:r>
            <w:proofErr w:type="gramEnd"/>
            <w:r w:rsidRPr="00C320F4">
              <w:rPr>
                <w:sz w:val="26"/>
                <w:szCs w:val="26"/>
              </w:rPr>
              <w:t>уб</w:t>
            </w:r>
            <w:proofErr w:type="spellEnd"/>
            <w:r w:rsidRPr="00C320F4">
              <w:rPr>
                <w:sz w:val="26"/>
                <w:szCs w:val="26"/>
              </w:rPr>
              <w:t>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shd w:val="clear" w:color="auto" w:fill="auto"/>
          </w:tcPr>
          <w:p w:rsidR="00B857DE" w:rsidRDefault="00B857DE" w:rsidP="0073647A">
            <w:pPr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количество СО НКО, получивших финансовую поддержку посредством 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CC4DDE">
              <w:rPr>
                <w:sz w:val="26"/>
                <w:szCs w:val="26"/>
              </w:rPr>
              <w:t>бюджета, не менее 5</w:t>
            </w:r>
            <w:r>
              <w:rPr>
                <w:sz w:val="26"/>
                <w:szCs w:val="26"/>
              </w:rPr>
              <w:t xml:space="preserve"> СО НКО к 202</w:t>
            </w:r>
            <w:r w:rsidR="00847DC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году;</w:t>
            </w:r>
          </w:p>
          <w:p w:rsidR="00B857DE" w:rsidRPr="00CC4DDE" w:rsidRDefault="00B857DE" w:rsidP="00847D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F7960">
              <w:rPr>
                <w:sz w:val="26"/>
                <w:szCs w:val="26"/>
              </w:rPr>
              <w:t>количество СО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>НКО, подавших заявки на участие в конкурсах социально значимых проектов</w:t>
            </w:r>
            <w:r>
              <w:rPr>
                <w:sz w:val="26"/>
                <w:szCs w:val="26"/>
              </w:rPr>
              <w:t xml:space="preserve"> краевого и федерального уровня</w:t>
            </w:r>
            <w:r w:rsidRPr="008F7960">
              <w:rPr>
                <w:sz w:val="26"/>
                <w:szCs w:val="26"/>
              </w:rPr>
              <w:t xml:space="preserve">, не менее </w:t>
            </w:r>
            <w:r>
              <w:rPr>
                <w:sz w:val="26"/>
                <w:szCs w:val="26"/>
              </w:rPr>
              <w:t>3 СО НКО</w:t>
            </w:r>
            <w:r>
              <w:t xml:space="preserve"> </w:t>
            </w:r>
            <w:r w:rsidRPr="001B5D44">
              <w:rPr>
                <w:sz w:val="26"/>
                <w:szCs w:val="26"/>
              </w:rPr>
              <w:t>к 202</w:t>
            </w:r>
            <w:r w:rsidR="00847DC6">
              <w:rPr>
                <w:sz w:val="26"/>
                <w:szCs w:val="26"/>
              </w:rPr>
              <w:t>5</w:t>
            </w:r>
            <w:r w:rsidRPr="001B5D44">
              <w:rPr>
                <w:sz w:val="26"/>
                <w:szCs w:val="26"/>
              </w:rPr>
              <w:t xml:space="preserve"> году</w:t>
            </w:r>
            <w:r w:rsidRPr="00CC4DDE">
              <w:rPr>
                <w:sz w:val="26"/>
                <w:szCs w:val="26"/>
              </w:rPr>
              <w:t xml:space="preserve">.        </w:t>
            </w:r>
          </w:p>
        </w:tc>
      </w:tr>
    </w:tbl>
    <w:p w:rsidR="00B857DE" w:rsidRDefault="00B857DE" w:rsidP="00B857DE">
      <w:pPr>
        <w:autoSpaceDE w:val="0"/>
        <w:autoSpaceDN w:val="0"/>
        <w:adjustRightInd w:val="0"/>
        <w:rPr>
          <w:b/>
        </w:rPr>
      </w:pP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>2</w:t>
      </w:r>
      <w:r w:rsidRPr="00535C63">
        <w:rPr>
          <w:b/>
        </w:rPr>
        <w:t xml:space="preserve">. </w:t>
      </w:r>
      <w:r w:rsidRPr="00535C63">
        <w:rPr>
          <w:b/>
          <w:sz w:val="26"/>
          <w:szCs w:val="26"/>
        </w:rPr>
        <w:t xml:space="preserve">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(в том числе основных проблем)</w:t>
      </w:r>
    </w:p>
    <w:p w:rsidR="00B857DE" w:rsidRDefault="00B857DE" w:rsidP="00B857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95DF9" w:rsidRPr="009D647D" w:rsidRDefault="00B95DF9" w:rsidP="00B95DF9">
      <w:pPr>
        <w:spacing w:line="360" w:lineRule="auto"/>
        <w:ind w:firstLine="708"/>
        <w:jc w:val="both"/>
        <w:rPr>
          <w:sz w:val="28"/>
          <w:szCs w:val="28"/>
        </w:rPr>
      </w:pPr>
      <w:r w:rsidRPr="009D647D">
        <w:rPr>
          <w:sz w:val="28"/>
          <w:szCs w:val="28"/>
        </w:rPr>
        <w:t xml:space="preserve">Становление гражданского </w:t>
      </w:r>
      <w:proofErr w:type="gramStart"/>
      <w:r w:rsidRPr="009D647D">
        <w:rPr>
          <w:sz w:val="28"/>
          <w:szCs w:val="28"/>
        </w:rPr>
        <w:t>демократического общества</w:t>
      </w:r>
      <w:proofErr w:type="gramEnd"/>
      <w:r w:rsidRPr="009D647D">
        <w:rPr>
          <w:sz w:val="28"/>
          <w:szCs w:val="28"/>
        </w:rPr>
        <w:t xml:space="preserve"> невозможно без развития общественного сектора - обширной сети неправительственных, некоммерческих о</w:t>
      </w:r>
      <w:r w:rsidR="00CA0C16">
        <w:rPr>
          <w:sz w:val="28"/>
          <w:szCs w:val="28"/>
        </w:rPr>
        <w:t>рганизац</w:t>
      </w:r>
      <w:r w:rsidRPr="009D647D">
        <w:rPr>
          <w:sz w:val="28"/>
          <w:szCs w:val="28"/>
        </w:rPr>
        <w:t>ий самой различной направленности: ветеранских и молодежных, экономических и творческих, профессиональных союзов и клубов по интересам.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</w:t>
      </w:r>
      <w:r w:rsidRPr="009D647D">
        <w:rPr>
          <w:bCs/>
          <w:sz w:val="28"/>
          <w:szCs w:val="28"/>
        </w:rPr>
        <w:lastRenderedPageBreak/>
        <w:t xml:space="preserve">самостоятельно решать не только свои собственные проблемы, но и проблемы других людей. В связи с этим развитие  некоммерческого хозяйствования приобретает особую актуальность в деле поддержания социальной сферы и обеспечения социальной защиты населения.  </w:t>
      </w:r>
    </w:p>
    <w:p w:rsidR="00B95DF9" w:rsidRPr="00484810" w:rsidRDefault="00B95DF9" w:rsidP="00B95DF9">
      <w:pPr>
        <w:suppressAutoHyphens/>
        <w:spacing w:line="360" w:lineRule="auto"/>
        <w:ind w:right="-29" w:firstLine="900"/>
        <w:jc w:val="both"/>
        <w:rPr>
          <w:bCs/>
          <w:sz w:val="28"/>
          <w:szCs w:val="28"/>
        </w:rPr>
      </w:pPr>
      <w:proofErr w:type="gramStart"/>
      <w:r w:rsidRPr="009D647D">
        <w:rPr>
          <w:sz w:val="28"/>
          <w:szCs w:val="28"/>
        </w:rPr>
        <w:t xml:space="preserve">Приоритеты муниципальной политики Находкинского городского округа в сфере реализации муниципальной программы определены исходя из задач, </w:t>
      </w:r>
      <w:r w:rsidRPr="00484810">
        <w:rPr>
          <w:bCs/>
          <w:sz w:val="28"/>
          <w:szCs w:val="28"/>
        </w:rPr>
        <w:t xml:space="preserve">поставленных в ежегодных посланиях Президента Российской Федерации Федеральному Собранию Российской Федерации, </w:t>
      </w:r>
      <w:r w:rsidR="00484810" w:rsidRPr="00484810">
        <w:rPr>
          <w:bCs/>
          <w:sz w:val="28"/>
          <w:szCs w:val="28"/>
        </w:rPr>
        <w:t>постановлением администрации Приморского края от 30 августа 2019 года  №564-па «Об утверждении государственной программы Приморского края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</w:t>
      </w:r>
      <w:proofErr w:type="gramEnd"/>
      <w:r w:rsidR="00484810" w:rsidRPr="00484810">
        <w:rPr>
          <w:bCs/>
          <w:sz w:val="28"/>
          <w:szCs w:val="28"/>
        </w:rPr>
        <w:t xml:space="preserve"> - 2027 годы</w:t>
      </w:r>
      <w:r w:rsidR="00484810">
        <w:rPr>
          <w:bCs/>
          <w:sz w:val="28"/>
          <w:szCs w:val="28"/>
        </w:rPr>
        <w:t>»</w:t>
      </w:r>
      <w:r w:rsidRPr="00484810">
        <w:rPr>
          <w:bCs/>
          <w:sz w:val="28"/>
          <w:szCs w:val="28"/>
        </w:rPr>
        <w:t xml:space="preserve">. 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Одним из основных приоритетов социально-экономического развития Находкинского городского округа является развитие институтов гражданского общества. С</w:t>
      </w:r>
      <w:r w:rsidRPr="009D647D">
        <w:rPr>
          <w:bCs/>
          <w:sz w:val="28"/>
          <w:szCs w:val="28"/>
        </w:rPr>
        <w:t xml:space="preserve">оциально ориентированные некоммерческие организации </w:t>
      </w:r>
      <w:r>
        <w:rPr>
          <w:bCs/>
          <w:sz w:val="28"/>
          <w:szCs w:val="28"/>
        </w:rPr>
        <w:t>(С</w:t>
      </w:r>
      <w:r w:rsidRPr="009D647D">
        <w:rPr>
          <w:sz w:val="28"/>
          <w:szCs w:val="28"/>
        </w:rPr>
        <w:t>О НКО</w:t>
      </w:r>
      <w:r>
        <w:rPr>
          <w:sz w:val="28"/>
          <w:szCs w:val="28"/>
        </w:rPr>
        <w:t>)</w:t>
      </w:r>
      <w:r w:rsidRPr="009D647D">
        <w:rPr>
          <w:sz w:val="28"/>
          <w:szCs w:val="28"/>
        </w:rPr>
        <w:t xml:space="preserve">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значительную роль в развитии демократии.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обеспечивая, таким образом, реализацию механизма обратной связи между гражданами и властью.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>В результате практической работы отдел</w:t>
      </w:r>
      <w:r w:rsidR="00484810">
        <w:rPr>
          <w:bCs/>
          <w:sz w:val="28"/>
          <w:szCs w:val="28"/>
        </w:rPr>
        <w:t>ом</w:t>
      </w:r>
      <w:r w:rsidRPr="009D647D">
        <w:rPr>
          <w:bCs/>
          <w:sz w:val="28"/>
          <w:szCs w:val="28"/>
        </w:rPr>
        <w:t xml:space="preserve"> по связям с общественностью </w:t>
      </w:r>
      <w:r w:rsidR="00484810">
        <w:rPr>
          <w:bCs/>
          <w:sz w:val="28"/>
          <w:szCs w:val="28"/>
        </w:rPr>
        <w:t xml:space="preserve">управления внешних коммуникаций </w:t>
      </w:r>
      <w:r w:rsidRPr="009D647D">
        <w:rPr>
          <w:bCs/>
          <w:sz w:val="28"/>
          <w:szCs w:val="28"/>
        </w:rPr>
        <w:t xml:space="preserve">администрации Находкинского городского округа  с СО НКО в течение последних лет выявлено, что социально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9D647D">
        <w:rPr>
          <w:bCs/>
          <w:sz w:val="28"/>
          <w:szCs w:val="28"/>
        </w:rPr>
        <w:t>отнесены</w:t>
      </w:r>
      <w:proofErr w:type="gramEnd"/>
      <w:r w:rsidRPr="009D647D">
        <w:rPr>
          <w:bCs/>
          <w:sz w:val="28"/>
          <w:szCs w:val="28"/>
        </w:rPr>
        <w:t>: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lastRenderedPageBreak/>
        <w:t xml:space="preserve">-    недостаточность кадровых ресурсов (членов СО НКО, которые могли бы заниматься социальным и проектным  менеджментом); 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D647D">
        <w:rPr>
          <w:bCs/>
          <w:sz w:val="28"/>
          <w:szCs w:val="28"/>
        </w:rPr>
        <w:t>- отсутствие финансовых ресурсов, необходимых для дальнейшего развития некоммерческих организаций, в том числе, для реализации социально значимых проектов. Для большинства СО НКО единственным постоянным источником существования являются членские взносы.</w:t>
      </w:r>
    </w:p>
    <w:p w:rsidR="00B95DF9" w:rsidRPr="009D647D" w:rsidRDefault="00B95DF9" w:rsidP="00B95DF9">
      <w:pPr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9D647D">
        <w:rPr>
          <w:bCs/>
          <w:sz w:val="28"/>
          <w:szCs w:val="28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bCs/>
          <w:sz w:val="28"/>
          <w:szCs w:val="28"/>
        </w:rPr>
        <w:t xml:space="preserve">       </w:t>
      </w:r>
      <w:r w:rsidRPr="009D647D">
        <w:rPr>
          <w:bCs/>
          <w:sz w:val="28"/>
          <w:szCs w:val="28"/>
        </w:rPr>
        <w:t xml:space="preserve">N7-ФЗ "О некоммерческих организациях", наиболее результативным является  механизм финансовой, консультационной и образовательной поддержки. </w:t>
      </w:r>
      <w:proofErr w:type="gramEnd"/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Целью муниципальной программы является:</w:t>
      </w:r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- развитие и совершенствование деятельности СО НКО Находкинского городского округа.</w:t>
      </w:r>
    </w:p>
    <w:p w:rsidR="00B95DF9" w:rsidRPr="009D647D" w:rsidRDefault="00B95DF9" w:rsidP="00B95DF9">
      <w:pPr>
        <w:suppressAutoHyphens/>
        <w:spacing w:line="360" w:lineRule="auto"/>
        <w:ind w:right="-29" w:firstLine="900"/>
        <w:jc w:val="both"/>
        <w:rPr>
          <w:sz w:val="28"/>
          <w:szCs w:val="28"/>
        </w:rPr>
      </w:pPr>
      <w:r w:rsidRPr="009D647D">
        <w:rPr>
          <w:sz w:val="28"/>
          <w:szCs w:val="28"/>
        </w:rPr>
        <w:t>Достижение поставленной цели предполагается путем выявления и поддержк</w:t>
      </w:r>
      <w:r w:rsidR="00484810">
        <w:rPr>
          <w:sz w:val="28"/>
          <w:szCs w:val="28"/>
        </w:rPr>
        <w:t>и</w:t>
      </w:r>
      <w:r w:rsidRPr="009D647D">
        <w:rPr>
          <w:sz w:val="28"/>
          <w:szCs w:val="28"/>
        </w:rPr>
        <w:t xml:space="preserve"> социально значимых инициатив СО НКО; создания условий для деятельности СО НКО в виде консультационной и образовательной поддержки СО НКО.</w:t>
      </w:r>
    </w:p>
    <w:p w:rsidR="00B95DF9" w:rsidRDefault="00B95DF9" w:rsidP="00B95DF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D647D">
        <w:rPr>
          <w:sz w:val="28"/>
          <w:szCs w:val="28"/>
        </w:rPr>
        <w:t xml:space="preserve">           </w:t>
      </w:r>
      <w:proofErr w:type="gramStart"/>
      <w:r w:rsidRPr="009D647D">
        <w:rPr>
          <w:sz w:val="28"/>
          <w:szCs w:val="28"/>
        </w:rPr>
        <w:t>Реализация муниципальной программы «Поддержка социально ориентированных некоммерческих организаций  Находкинского  городского округа» на 2018 - 2020 годы и на период до 2025 года»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повышения эффективности взаимодействия органов власти и некоммерческих организаций и закрепления механизма социального партнерства на территории Н</w:t>
      </w:r>
      <w:r>
        <w:rPr>
          <w:sz w:val="28"/>
          <w:szCs w:val="28"/>
        </w:rPr>
        <w:t>аходкинского городского округа.</w:t>
      </w:r>
      <w:proofErr w:type="gramEnd"/>
    </w:p>
    <w:p w:rsidR="00B95DF9" w:rsidRPr="009D647D" w:rsidRDefault="00B95DF9" w:rsidP="00B95DF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D647D">
        <w:rPr>
          <w:sz w:val="28"/>
          <w:szCs w:val="28"/>
        </w:rPr>
        <w:lastRenderedPageBreak/>
        <w:t xml:space="preserve">Использование программно-целевого метода позволит </w:t>
      </w:r>
      <w:r w:rsidRPr="009D647D">
        <w:rPr>
          <w:bCs/>
          <w:sz w:val="28"/>
          <w:szCs w:val="28"/>
        </w:rPr>
        <w:t>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программы.</w:t>
      </w:r>
    </w:p>
    <w:p w:rsidR="00B95DF9" w:rsidRPr="009D647D" w:rsidRDefault="00B95DF9" w:rsidP="00B95DF9">
      <w:pPr>
        <w:rPr>
          <w:sz w:val="28"/>
          <w:szCs w:val="28"/>
        </w:rPr>
      </w:pPr>
    </w:p>
    <w:p w:rsidR="00B857DE" w:rsidRDefault="00B857DE" w:rsidP="00B857DE">
      <w:pPr>
        <w:suppressAutoHyphens/>
        <w:ind w:right="-28" w:firstLine="902"/>
        <w:jc w:val="center"/>
        <w:rPr>
          <w:b/>
          <w:sz w:val="26"/>
          <w:szCs w:val="26"/>
        </w:rPr>
      </w:pPr>
    </w:p>
    <w:p w:rsidR="00B857DE" w:rsidRPr="00C5789D" w:rsidRDefault="00B857DE" w:rsidP="00C5789D">
      <w:pPr>
        <w:pStyle w:val="a5"/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C5789D">
        <w:rPr>
          <w:b/>
          <w:sz w:val="26"/>
          <w:szCs w:val="26"/>
        </w:rPr>
        <w:t>Сроки и этапы реализации муниципальной программы</w:t>
      </w:r>
    </w:p>
    <w:p w:rsidR="00B857DE" w:rsidRDefault="00B857DE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F81212">
        <w:rPr>
          <w:sz w:val="26"/>
          <w:szCs w:val="26"/>
        </w:rPr>
        <w:t>Муниципальная программа реализуется в период с 2018 по 202</w:t>
      </w:r>
      <w:r w:rsidR="00B95DF9">
        <w:rPr>
          <w:sz w:val="26"/>
          <w:szCs w:val="26"/>
        </w:rPr>
        <w:t>5</w:t>
      </w:r>
      <w:r w:rsidRPr="00F81212">
        <w:rPr>
          <w:sz w:val="26"/>
          <w:szCs w:val="26"/>
        </w:rPr>
        <w:t xml:space="preserve"> годы в один этап.</w:t>
      </w:r>
    </w:p>
    <w:p w:rsidR="00847DC6" w:rsidRDefault="00847DC6" w:rsidP="00B857D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847DC6" w:rsidRPr="00F81212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F81212">
        <w:rPr>
          <w:sz w:val="26"/>
          <w:szCs w:val="26"/>
        </w:rPr>
        <w:t xml:space="preserve">. </w:t>
      </w:r>
      <w:r w:rsidRPr="000A560C">
        <w:rPr>
          <w:b/>
          <w:sz w:val="26"/>
          <w:szCs w:val="26"/>
        </w:rPr>
        <w:t xml:space="preserve">Целевые показатели </w:t>
      </w:r>
      <w:r>
        <w:rPr>
          <w:b/>
          <w:sz w:val="26"/>
          <w:szCs w:val="26"/>
        </w:rPr>
        <w:t>(</w:t>
      </w:r>
      <w:r w:rsidRPr="000A560C">
        <w:rPr>
          <w:b/>
          <w:sz w:val="26"/>
          <w:szCs w:val="26"/>
        </w:rPr>
        <w:t>индикаторы</w:t>
      </w:r>
      <w:r>
        <w:rPr>
          <w:b/>
          <w:sz w:val="26"/>
          <w:szCs w:val="26"/>
        </w:rPr>
        <w:t>)</w:t>
      </w:r>
      <w:r w:rsidRPr="000A560C">
        <w:rPr>
          <w:b/>
          <w:sz w:val="26"/>
          <w:szCs w:val="26"/>
        </w:rPr>
        <w:t xml:space="preserve"> муниципальной программы</w:t>
      </w:r>
    </w:p>
    <w:p w:rsidR="00847DC6" w:rsidRDefault="00847DC6" w:rsidP="00847DC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 w:rsidRPr="00CC4DDE">
        <w:rPr>
          <w:sz w:val="26"/>
          <w:szCs w:val="26"/>
        </w:rPr>
        <w:t>Целевы</w:t>
      </w:r>
      <w:r>
        <w:rPr>
          <w:sz w:val="26"/>
          <w:szCs w:val="26"/>
        </w:rPr>
        <w:t>ми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ями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ами</w:t>
      </w:r>
      <w:r w:rsidRPr="00CC4DDE"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C4DDE">
        <w:rPr>
          <w:sz w:val="26"/>
          <w:szCs w:val="26"/>
        </w:rPr>
        <w:t>муниципальной программы, характеризующи</w:t>
      </w:r>
      <w:r>
        <w:rPr>
          <w:sz w:val="26"/>
          <w:szCs w:val="26"/>
        </w:rPr>
        <w:t xml:space="preserve">ми </w:t>
      </w:r>
      <w:r w:rsidRPr="00CC4DDE">
        <w:rPr>
          <w:sz w:val="26"/>
          <w:szCs w:val="26"/>
        </w:rPr>
        <w:t>достижение ее цели явля</w:t>
      </w:r>
      <w:r>
        <w:rPr>
          <w:sz w:val="26"/>
          <w:szCs w:val="26"/>
        </w:rPr>
        <w:t>ются:</w:t>
      </w:r>
    </w:p>
    <w:p w:rsidR="00CF5E5B" w:rsidRDefault="00847DC6" w:rsidP="00CF5E5B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1) к</w:t>
      </w:r>
      <w:r w:rsidRPr="00CC4DDE">
        <w:rPr>
          <w:sz w:val="26"/>
          <w:szCs w:val="26"/>
        </w:rPr>
        <w:t xml:space="preserve">оличество СО НКО, получивших финансовую поддержку посредством предоставления субсидий за счет средств </w:t>
      </w:r>
      <w:r>
        <w:rPr>
          <w:sz w:val="26"/>
          <w:szCs w:val="26"/>
        </w:rPr>
        <w:t xml:space="preserve">местного </w:t>
      </w:r>
      <w:r w:rsidRPr="00CC4DDE">
        <w:rPr>
          <w:sz w:val="26"/>
          <w:szCs w:val="26"/>
        </w:rPr>
        <w:t xml:space="preserve">бюджета. </w:t>
      </w:r>
      <w:proofErr w:type="gramStart"/>
      <w:r>
        <w:rPr>
          <w:sz w:val="26"/>
          <w:szCs w:val="26"/>
        </w:rPr>
        <w:t xml:space="preserve">Источником информации являются </w:t>
      </w:r>
      <w:r w:rsidRPr="00CC4DDE">
        <w:rPr>
          <w:sz w:val="26"/>
          <w:szCs w:val="26"/>
        </w:rPr>
        <w:t>сведения из протокола комиссии по проведению отбора СО  НКО на территории</w:t>
      </w:r>
      <w:r>
        <w:rPr>
          <w:sz w:val="26"/>
          <w:szCs w:val="26"/>
        </w:rPr>
        <w:t xml:space="preserve"> </w:t>
      </w:r>
      <w:r w:rsidRPr="000519A8">
        <w:rPr>
          <w:sz w:val="26"/>
          <w:szCs w:val="26"/>
        </w:rPr>
        <w:t>Находкинского городского округа</w:t>
      </w:r>
      <w:r w:rsidRPr="00CC4DDE">
        <w:rPr>
          <w:sz w:val="26"/>
          <w:szCs w:val="26"/>
        </w:rPr>
        <w:t>, претендующих на предост</w:t>
      </w:r>
      <w:r w:rsidR="00CF5E5B">
        <w:rPr>
          <w:sz w:val="26"/>
          <w:szCs w:val="26"/>
        </w:rPr>
        <w:t xml:space="preserve">авление субсидии из бюджета НГО, а именно количество СО НКО - победителей конкурсного отбора для СО </w:t>
      </w:r>
      <w:r w:rsidR="00CF5E5B" w:rsidRPr="00CC4DDE">
        <w:rPr>
          <w:sz w:val="26"/>
          <w:szCs w:val="26"/>
        </w:rPr>
        <w:t>НКО на территории Находкинского городского округа, претендующих на предоставление субсидии, св</w:t>
      </w:r>
      <w:r w:rsidR="00CF5E5B">
        <w:rPr>
          <w:sz w:val="26"/>
          <w:szCs w:val="26"/>
        </w:rPr>
        <w:t xml:space="preserve">язанных с реализацией социально </w:t>
      </w:r>
      <w:r w:rsidR="00CF5E5B" w:rsidRPr="00CC4DDE">
        <w:rPr>
          <w:sz w:val="26"/>
          <w:szCs w:val="26"/>
        </w:rPr>
        <w:t>значимых проектов, предусматривающих</w:t>
      </w:r>
      <w:r w:rsidR="00CF5E5B">
        <w:rPr>
          <w:sz w:val="26"/>
          <w:szCs w:val="26"/>
        </w:rPr>
        <w:t xml:space="preserve">  </w:t>
      </w:r>
      <w:r w:rsidR="00CF5E5B" w:rsidRPr="00CC4DDE">
        <w:rPr>
          <w:sz w:val="26"/>
          <w:szCs w:val="26"/>
        </w:rPr>
        <w:t xml:space="preserve"> мероприятия по социальной поддержке инвалидов и ветеранов</w:t>
      </w:r>
      <w:r w:rsidR="00CF5E5B">
        <w:rPr>
          <w:sz w:val="26"/>
          <w:szCs w:val="26"/>
        </w:rPr>
        <w:t xml:space="preserve"> (</w:t>
      </w:r>
      <w:r w:rsidR="00CF5E5B" w:rsidRPr="00CC4DDE">
        <w:rPr>
          <w:sz w:val="26"/>
          <w:szCs w:val="26"/>
        </w:rPr>
        <w:t>далее - Конкурс).</w:t>
      </w:r>
      <w:proofErr w:type="gramEnd"/>
    </w:p>
    <w:p w:rsidR="00847DC6" w:rsidRPr="00CC4DDE" w:rsidRDefault="00847DC6" w:rsidP="00847DC6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</w:t>
      </w:r>
      <w:r w:rsidRPr="008B5780">
        <w:rPr>
          <w:sz w:val="26"/>
          <w:szCs w:val="26"/>
        </w:rPr>
        <w:t xml:space="preserve"> </w:t>
      </w:r>
      <w:r w:rsidR="00484810">
        <w:rPr>
          <w:sz w:val="26"/>
          <w:szCs w:val="26"/>
        </w:rPr>
        <w:t>к</w:t>
      </w:r>
      <w:r w:rsidRPr="003B6274">
        <w:rPr>
          <w:sz w:val="26"/>
          <w:szCs w:val="26"/>
        </w:rPr>
        <w:t>оличество СО</w:t>
      </w:r>
      <w:r>
        <w:rPr>
          <w:sz w:val="26"/>
          <w:szCs w:val="26"/>
        </w:rPr>
        <w:t xml:space="preserve"> </w:t>
      </w:r>
      <w:r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>
        <w:rPr>
          <w:sz w:val="26"/>
          <w:szCs w:val="26"/>
        </w:rPr>
        <w:t xml:space="preserve">и федерального </w:t>
      </w:r>
      <w:r w:rsidRPr="003B6274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. Сведения предоставляются по данным отдела по связям с общественностью администрации </w:t>
      </w:r>
      <w:r w:rsidRPr="000519A8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847DC6" w:rsidRDefault="00847DC6" w:rsidP="00847DC6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C4DDE">
        <w:rPr>
          <w:sz w:val="26"/>
          <w:szCs w:val="26"/>
        </w:rPr>
        <w:t xml:space="preserve">        </w:t>
      </w:r>
    </w:p>
    <w:p w:rsidR="00B37B52" w:rsidRDefault="00847DC6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  <w:sectPr w:rsidR="00B37B52" w:rsidSect="00B95DF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C4DDE">
        <w:rPr>
          <w:sz w:val="26"/>
          <w:szCs w:val="26"/>
        </w:rPr>
        <w:t xml:space="preserve">       Целев</w:t>
      </w:r>
      <w:r>
        <w:rPr>
          <w:sz w:val="26"/>
          <w:szCs w:val="26"/>
        </w:rPr>
        <w:t>ые</w:t>
      </w:r>
      <w:r w:rsidRPr="00CC4DDE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и</w:t>
      </w:r>
      <w:r w:rsidRPr="00CC4DDE">
        <w:rPr>
          <w:sz w:val="26"/>
          <w:szCs w:val="26"/>
        </w:rPr>
        <w:t xml:space="preserve"> (индикатор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>)  муниципальной программы представлен</w:t>
      </w:r>
      <w:r>
        <w:rPr>
          <w:sz w:val="26"/>
          <w:szCs w:val="26"/>
        </w:rPr>
        <w:t>ы</w:t>
      </w:r>
      <w:r w:rsidRPr="00CC4DDE">
        <w:rPr>
          <w:sz w:val="26"/>
          <w:szCs w:val="26"/>
        </w:rPr>
        <w:t xml:space="preserve"> в Приложении № 1 к муниципальной программе.</w:t>
      </w:r>
      <w:r w:rsidRPr="008749C6">
        <w:rPr>
          <w:sz w:val="26"/>
          <w:szCs w:val="26"/>
        </w:rPr>
        <w:t xml:space="preserve"> </w:t>
      </w: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1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B37B52" w:rsidRPr="000048FE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408"/>
        <w:gridCol w:w="921"/>
        <w:gridCol w:w="690"/>
        <w:gridCol w:w="565"/>
        <w:gridCol w:w="711"/>
        <w:gridCol w:w="705"/>
        <w:gridCol w:w="992"/>
        <w:gridCol w:w="992"/>
        <w:gridCol w:w="992"/>
        <w:gridCol w:w="851"/>
        <w:gridCol w:w="708"/>
        <w:gridCol w:w="725"/>
        <w:gridCol w:w="1972"/>
      </w:tblGrid>
      <w:tr w:rsidR="00B37B52" w:rsidRPr="002077CD" w:rsidTr="00052A25">
        <w:trPr>
          <w:tblCellSpacing w:w="5" w:type="nil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2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2077C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</w:t>
            </w:r>
          </w:p>
          <w:p w:rsidR="00B37B52" w:rsidRPr="006D6CFD" w:rsidRDefault="00B37B52" w:rsidP="00052A2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437A54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8DC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jc w:val="center"/>
              <w:rPr>
                <w:sz w:val="26"/>
                <w:szCs w:val="26"/>
              </w:rPr>
            </w:pPr>
            <w:r w:rsidRPr="00D328DC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предоставление финансовой поддержки 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 w:rsidRPr="00FF0754">
              <w:rPr>
                <w:sz w:val="26"/>
                <w:szCs w:val="26"/>
              </w:rPr>
              <w:t xml:space="preserve">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посредством предоставления </w:t>
            </w:r>
            <w:r w:rsidRPr="00FD5762">
              <w:rPr>
                <w:sz w:val="26"/>
                <w:szCs w:val="26"/>
              </w:rPr>
              <w:lastRenderedPageBreak/>
              <w:t>субсидий</w:t>
            </w:r>
            <w:r>
              <w:rPr>
                <w:sz w:val="26"/>
                <w:szCs w:val="26"/>
              </w:rPr>
              <w:t xml:space="preserve"> не менее 5 СО НКО в год.    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64FA5">
              <w:rPr>
                <w:sz w:val="26"/>
                <w:szCs w:val="26"/>
              </w:rPr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ad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328DC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8FE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jc w:val="center"/>
              <w:rPr>
                <w:sz w:val="26"/>
                <w:szCs w:val="26"/>
              </w:rPr>
            </w:pPr>
            <w:r w:rsidRPr="000048FE">
              <w:rPr>
                <w:sz w:val="26"/>
                <w:szCs w:val="26"/>
              </w:rPr>
              <w:t>&lt;=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D5762" w:rsidRDefault="00B37B52" w:rsidP="00052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уровня, не менее 3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B857DE" w:rsidRDefault="00B857DE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2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639" w:right="-31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781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Pr="00EA4E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B37B52" w:rsidRPr="00393FCD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B37B52" w:rsidRPr="00661914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694"/>
        <w:gridCol w:w="1559"/>
        <w:gridCol w:w="1419"/>
        <w:gridCol w:w="1278"/>
        <w:gridCol w:w="1132"/>
        <w:gridCol w:w="851"/>
        <w:gridCol w:w="851"/>
        <w:gridCol w:w="992"/>
        <w:gridCol w:w="845"/>
      </w:tblGrid>
      <w:tr w:rsidR="00B37B52" w:rsidRPr="00854F7B" w:rsidTr="00052A25">
        <w:trPr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2018 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2019 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37B52" w:rsidRPr="00854F7B" w:rsidTr="00052A25">
        <w:trPr>
          <w:trHeight w:val="438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Поддержка социально ориентированных некоммерческих организаций  Находкинского  городского округа</w:t>
            </w:r>
          </w:p>
          <w:p w:rsidR="00B37B52" w:rsidRPr="00854F7B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854F7B">
              <w:rPr>
                <w:sz w:val="26"/>
                <w:szCs w:val="26"/>
              </w:rPr>
              <w:t>на 2018 - 202</w:t>
            </w:r>
            <w:r>
              <w:rPr>
                <w:sz w:val="26"/>
                <w:szCs w:val="26"/>
              </w:rPr>
              <w:t>5</w:t>
            </w:r>
            <w:r w:rsidRPr="00854F7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13425,0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F808FB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E975EA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>
              <w:rPr>
                <w:sz w:val="26"/>
                <w:szCs w:val="26"/>
              </w:rPr>
              <w:t>1750,0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436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tabs>
                <w:tab w:val="left" w:pos="34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иные внебюджетные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blCellSpacing w:w="5" w:type="nil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37B52" w:rsidRPr="00854F7B" w:rsidTr="00052A25">
        <w:trPr>
          <w:trHeight w:val="273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B37B52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944BA">
              <w:rPr>
                <w:sz w:val="26"/>
                <w:szCs w:val="26"/>
              </w:rPr>
              <w:t xml:space="preserve">Предоставление финансовой поддержки СО НКО посредством предоставления субсидий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13175,0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EC17EB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854F7B" w:rsidTr="00052A25">
        <w:trPr>
          <w:trHeight w:val="56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854F7B" w:rsidTr="00052A25">
        <w:trPr>
          <w:trHeight w:val="380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jc w:val="center"/>
            </w:pPr>
            <w:r w:rsidRPr="00FA0196">
              <w:rPr>
                <w:sz w:val="26"/>
                <w:szCs w:val="26"/>
              </w:rPr>
              <w:t>1175,0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jc w:val="center"/>
            </w:pPr>
            <w:r w:rsidRPr="00E20C06">
              <w:rPr>
                <w:sz w:val="26"/>
                <w:szCs w:val="26"/>
              </w:rPr>
              <w:t>1500,0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1800,0</w:t>
            </w:r>
          </w:p>
        </w:tc>
      </w:tr>
      <w:tr w:rsidR="00B37B52" w:rsidRPr="006D6CFD" w:rsidTr="00052A25">
        <w:trPr>
          <w:trHeight w:val="497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E530AE">
              <w:rPr>
                <w:sz w:val="26"/>
                <w:szCs w:val="26"/>
              </w:rPr>
              <w:t xml:space="preserve">участия СО НКО в </w:t>
            </w:r>
            <w:r w:rsidRPr="00E121CC">
              <w:rPr>
                <w:sz w:val="26"/>
                <w:szCs w:val="26"/>
              </w:rPr>
              <w:t>краевых семинарах и иных мероприятий по обмену опытом и распространению лучших практик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 250,0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530AE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E121CC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374"/>
          <w:tblCellSpacing w:w="5" w:type="nil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854F7B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E121CC">
              <w:rPr>
                <w:rFonts w:ascii="Times New Roman" w:hAnsi="Times New Roman" w:cs="Times New Roman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52" w:rsidRPr="00B851D1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E20C06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Pr="006D6CFD" w:rsidRDefault="00B37B52" w:rsidP="00B37B52">
      <w:pPr>
        <w:suppressAutoHyphens/>
        <w:ind w:right="-29"/>
        <w:jc w:val="both"/>
        <w:rPr>
          <w:sz w:val="26"/>
          <w:szCs w:val="26"/>
        </w:rPr>
      </w:pPr>
    </w:p>
    <w:p w:rsidR="00B37B52" w:rsidRDefault="00B37B52" w:rsidP="00B37B52"/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3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37B52" w:rsidRPr="006D6CFD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37B52" w:rsidRPr="003A215D" w:rsidRDefault="00B37B52" w:rsidP="00B37B52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37B52" w:rsidRPr="000048FE" w:rsidRDefault="00B37B52" w:rsidP="00B37B52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37B52" w:rsidRDefault="00B37B52" w:rsidP="00B37B52">
      <w:pPr>
        <w:suppressAutoHyphens/>
        <w:ind w:left="9356" w:right="-29"/>
        <w:jc w:val="center"/>
        <w:rPr>
          <w:sz w:val="26"/>
          <w:szCs w:val="26"/>
        </w:rPr>
      </w:pPr>
    </w:p>
    <w:p w:rsidR="00B37B52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>РЕСУРСНОЕ ОБЕСПЕЧЕНИЕ</w:t>
      </w:r>
    </w:p>
    <w:p w:rsidR="00B37B52" w:rsidRPr="00D57EAB" w:rsidRDefault="00B37B52" w:rsidP="00B37B52">
      <w:pPr>
        <w:suppressAutoHyphens/>
        <w:ind w:right="-29"/>
        <w:jc w:val="center"/>
        <w:rPr>
          <w:b/>
          <w:sz w:val="26"/>
          <w:szCs w:val="26"/>
        </w:rPr>
      </w:pPr>
      <w:r w:rsidRPr="00745C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 </w:t>
      </w:r>
      <w:r w:rsidRPr="00CF7069">
        <w:rPr>
          <w:b/>
          <w:sz w:val="26"/>
          <w:szCs w:val="26"/>
        </w:rPr>
        <w:t>муниципальной программы</w:t>
      </w:r>
    </w:p>
    <w:p w:rsidR="00B37B52" w:rsidRDefault="00B37B52" w:rsidP="00B37B52">
      <w:pPr>
        <w:rPr>
          <w:sz w:val="26"/>
          <w:szCs w:val="26"/>
        </w:rPr>
      </w:pPr>
    </w:p>
    <w:tbl>
      <w:tblPr>
        <w:tblW w:w="5049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2027"/>
        <w:gridCol w:w="1418"/>
        <w:gridCol w:w="564"/>
        <w:gridCol w:w="709"/>
        <w:gridCol w:w="706"/>
        <w:gridCol w:w="860"/>
        <w:gridCol w:w="992"/>
        <w:gridCol w:w="992"/>
        <w:gridCol w:w="1134"/>
        <w:gridCol w:w="995"/>
        <w:gridCol w:w="1134"/>
        <w:gridCol w:w="1134"/>
        <w:gridCol w:w="992"/>
        <w:gridCol w:w="842"/>
      </w:tblGrid>
      <w:tr w:rsidR="00B37B52" w:rsidRPr="006D6CFD" w:rsidTr="00052A25">
        <w:trPr>
          <w:tblCellSpacing w:w="5" w:type="nil"/>
        </w:trPr>
        <w:tc>
          <w:tcPr>
            <w:tcW w:w="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3D54D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исполнитель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C26F8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C26F8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Поддержка</w:t>
            </w:r>
            <w:r>
              <w:rPr>
                <w:sz w:val="26"/>
                <w:szCs w:val="26"/>
              </w:rPr>
              <w:t xml:space="preserve"> СО НКО</w:t>
            </w:r>
            <w:r w:rsidRPr="006D6CFD">
              <w:rPr>
                <w:sz w:val="26"/>
                <w:szCs w:val="26"/>
              </w:rPr>
              <w:t xml:space="preserve"> 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6D6CFD">
              <w:rPr>
                <w:sz w:val="26"/>
                <w:szCs w:val="26"/>
              </w:rPr>
              <w:t>на</w:t>
            </w:r>
            <w:proofErr w:type="gramEnd"/>
            <w:r w:rsidRPr="006D6CFD">
              <w:rPr>
                <w:sz w:val="26"/>
                <w:szCs w:val="26"/>
              </w:rPr>
              <w:t xml:space="preserve"> </w:t>
            </w:r>
          </w:p>
          <w:p w:rsidR="00B37B52" w:rsidRPr="006D6CFD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 w:rsidRPr="006D6CFD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D6C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6D6CFD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 xml:space="preserve">25 </w:t>
            </w:r>
            <w:r w:rsidRPr="006D6CFD">
              <w:rPr>
                <w:sz w:val="26"/>
                <w:szCs w:val="26"/>
              </w:rPr>
              <w:t>годы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связям с </w:t>
            </w: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венностью</w:t>
            </w:r>
            <w:proofErr w:type="spellEnd"/>
            <w:proofErr w:type="gramEnd"/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37B52" w:rsidRPr="006D6CFD" w:rsidTr="00052A25">
        <w:trPr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C26F8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C26F8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37B52" w:rsidRPr="006D6CFD" w:rsidTr="00052A25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Предоставление финансовой поддержки СО </w:t>
            </w:r>
            <w:r w:rsidRPr="00B53751">
              <w:rPr>
                <w:sz w:val="26"/>
                <w:szCs w:val="26"/>
              </w:rPr>
              <w:lastRenderedPageBreak/>
              <w:t xml:space="preserve">НКО посредством предоставления субсидий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r w:rsidRPr="00FE4988">
              <w:rPr>
                <w:sz w:val="26"/>
                <w:szCs w:val="26"/>
              </w:rPr>
              <w:lastRenderedPageBreak/>
              <w:t xml:space="preserve">отдел по связям с </w:t>
            </w:r>
            <w:proofErr w:type="gramStart"/>
            <w:r w:rsidRPr="00FE498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4988">
              <w:rPr>
                <w:sz w:val="26"/>
                <w:szCs w:val="26"/>
              </w:rPr>
              <w:lastRenderedPageBreak/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B57"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37B52" w:rsidRPr="006D6CFD" w:rsidTr="00052A25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Организация участия СО НКО в краевых семинарах и иных мероприятий по обмену опытом и распространению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FE4988" w:rsidRDefault="00B37B52" w:rsidP="00052A25">
            <w:pPr>
              <w:rPr>
                <w:sz w:val="26"/>
                <w:szCs w:val="26"/>
              </w:rPr>
            </w:pPr>
            <w:r w:rsidRPr="00D57EAB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D57EAB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D57EAB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6D6CFD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565B57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37B52" w:rsidRPr="006D6CFD" w:rsidTr="00052A25">
        <w:trPr>
          <w:trHeight w:val="765"/>
          <w:tblCellSpacing w:w="5" w:type="nil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B53751" w:rsidRDefault="00B37B52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>Оказание консультационной поддержки.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57EAB" w:rsidRDefault="00B37B52" w:rsidP="00052A25">
            <w:pPr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B53751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B53751">
              <w:rPr>
                <w:sz w:val="26"/>
                <w:szCs w:val="26"/>
              </w:rPr>
              <w:t>ностью</w:t>
            </w:r>
            <w:proofErr w:type="spellEnd"/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57EA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Pr="00D57EAB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52" w:rsidRDefault="00B37B52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37B52" w:rsidRDefault="00B37B52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 xml:space="preserve"> 4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B26035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к муниципальной программе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«</w:t>
      </w:r>
      <w:r>
        <w:rPr>
          <w:sz w:val="26"/>
          <w:szCs w:val="26"/>
        </w:rPr>
        <w:t xml:space="preserve">Поддержка социально ориентированных некоммерческих организаций </w:t>
      </w:r>
      <w:r w:rsidRPr="006D6CFD">
        <w:rPr>
          <w:sz w:val="26"/>
          <w:szCs w:val="26"/>
        </w:rPr>
        <w:t>Находкинско</w:t>
      </w:r>
      <w:r>
        <w:rPr>
          <w:sz w:val="26"/>
          <w:szCs w:val="26"/>
        </w:rPr>
        <w:t xml:space="preserve">го </w:t>
      </w:r>
      <w:r w:rsidRPr="006D6CFD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6D6CFD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а»</w:t>
      </w:r>
      <w:r w:rsidRPr="006D6CFD">
        <w:rPr>
          <w:sz w:val="26"/>
          <w:szCs w:val="26"/>
        </w:rPr>
        <w:t xml:space="preserve"> 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на 201</w:t>
      </w:r>
      <w:r>
        <w:rPr>
          <w:sz w:val="26"/>
          <w:szCs w:val="26"/>
        </w:rPr>
        <w:t>8</w:t>
      </w:r>
      <w:r w:rsidRPr="006D6CFD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6D6C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года»</w:t>
      </w:r>
      <w:r w:rsidRPr="006D6CFD">
        <w:rPr>
          <w:sz w:val="26"/>
          <w:szCs w:val="26"/>
        </w:rPr>
        <w:t>,</w:t>
      </w:r>
    </w:p>
    <w:p w:rsidR="00B26035" w:rsidRPr="006D6CFD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утвержденной постановлением</w:t>
      </w:r>
      <w:r>
        <w:rPr>
          <w:sz w:val="26"/>
          <w:szCs w:val="26"/>
        </w:rPr>
        <w:t xml:space="preserve"> </w:t>
      </w:r>
      <w:r w:rsidRPr="006D6CFD">
        <w:rPr>
          <w:sz w:val="26"/>
          <w:szCs w:val="26"/>
        </w:rPr>
        <w:t>администрации  Находкинского</w:t>
      </w:r>
      <w:r>
        <w:rPr>
          <w:sz w:val="26"/>
          <w:szCs w:val="26"/>
        </w:rPr>
        <w:t xml:space="preserve"> городского </w:t>
      </w:r>
      <w:r w:rsidRPr="006D6CFD">
        <w:rPr>
          <w:sz w:val="26"/>
          <w:szCs w:val="26"/>
        </w:rPr>
        <w:t>округа</w:t>
      </w:r>
    </w:p>
    <w:p w:rsidR="00B26035" w:rsidRPr="003A215D" w:rsidRDefault="00B26035" w:rsidP="00B26035">
      <w:pPr>
        <w:ind w:left="9356"/>
        <w:jc w:val="center"/>
        <w:rPr>
          <w:sz w:val="26"/>
          <w:szCs w:val="26"/>
        </w:rPr>
      </w:pPr>
      <w:r w:rsidRPr="000048F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«31»  июля </w:t>
      </w:r>
      <w:r w:rsidRPr="003A215D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3A215D">
        <w:rPr>
          <w:sz w:val="26"/>
          <w:szCs w:val="26"/>
        </w:rPr>
        <w:t xml:space="preserve"> года</w:t>
      </w:r>
    </w:p>
    <w:p w:rsidR="00B26035" w:rsidRPr="000048FE" w:rsidRDefault="00B26035" w:rsidP="00B26035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>
        <w:rPr>
          <w:sz w:val="26"/>
          <w:szCs w:val="26"/>
        </w:rPr>
        <w:t>№ 1393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B26035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B26035" w:rsidRPr="00D72E1B" w:rsidRDefault="00B26035" w:rsidP="00B26035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01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02"/>
        <w:gridCol w:w="1504"/>
        <w:gridCol w:w="957"/>
        <w:gridCol w:w="1498"/>
        <w:gridCol w:w="822"/>
        <w:gridCol w:w="822"/>
        <w:gridCol w:w="682"/>
        <w:gridCol w:w="957"/>
        <w:gridCol w:w="682"/>
        <w:gridCol w:w="957"/>
        <w:gridCol w:w="825"/>
        <w:gridCol w:w="667"/>
        <w:gridCol w:w="146"/>
        <w:gridCol w:w="1902"/>
      </w:tblGrid>
      <w:tr w:rsidR="00B26035" w:rsidRPr="006D6CFD" w:rsidTr="00052A25">
        <w:trPr>
          <w:trHeight w:val="493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B26035" w:rsidRPr="0052473F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Pr="0052473F" w:rsidRDefault="00B26035" w:rsidP="00052A25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2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B26035" w:rsidRPr="006D6CFD" w:rsidRDefault="00B26035" w:rsidP="00052A25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B26035" w:rsidRPr="006D6CFD" w:rsidTr="00052A25">
        <w:trPr>
          <w:trHeight w:val="39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6035" w:rsidRPr="006D6CFD" w:rsidTr="00052A25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26035" w:rsidRPr="006D6CFD" w:rsidTr="00052A25">
        <w:trPr>
          <w:gridAfter w:val="2"/>
          <w:wAfter w:w="700" w:type="pct"/>
          <w:trHeight w:val="417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854F7B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035" w:rsidRPr="001C1FD2" w:rsidRDefault="00B26035" w:rsidP="00052A25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B26035" w:rsidRPr="006D6CFD" w:rsidTr="00052A25">
        <w:trPr>
          <w:trHeight w:val="274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B4529">
              <w:rPr>
                <w:sz w:val="26"/>
                <w:szCs w:val="26"/>
              </w:rPr>
              <w:t>Предоставле</w:t>
            </w:r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2B4529">
              <w:rPr>
                <w:sz w:val="26"/>
                <w:szCs w:val="26"/>
              </w:rPr>
              <w:t xml:space="preserve"> финансовой поддержки СО НКО посредством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</w:pPr>
            <w:r w:rsidRPr="00F005D8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F005D8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005D8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финансовую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A73E40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DF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финансовую поддержку посредством </w:t>
            </w:r>
          </w:p>
        </w:tc>
      </w:tr>
      <w:tr w:rsidR="00B26035" w:rsidRPr="006D6CFD" w:rsidTr="00052A25">
        <w:trPr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6D6C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26035" w:rsidRPr="006D6CFD" w:rsidTr="00052A2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2B4529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 xml:space="preserve">предоставления </w:t>
            </w:r>
            <w:r w:rsidRPr="002B4529">
              <w:rPr>
                <w:sz w:val="26"/>
                <w:szCs w:val="26"/>
              </w:rPr>
              <w:lastRenderedPageBreak/>
              <w:t xml:space="preserve">субсидий за счет средств бюджета Находкинского  городского округа     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lastRenderedPageBreak/>
              <w:t>коммуника-ций</w:t>
            </w:r>
            <w:proofErr w:type="spellEnd"/>
            <w:proofErr w:type="gramEnd"/>
          </w:p>
          <w:p w:rsidR="00B26035" w:rsidRPr="00F005D8" w:rsidRDefault="00B26035" w:rsidP="00052A2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поддержку</w:t>
            </w:r>
          </w:p>
          <w:p w:rsidR="00B26035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lastRenderedPageBreak/>
              <w:t xml:space="preserve">посредством </w:t>
            </w:r>
            <w:proofErr w:type="spellStart"/>
            <w:proofErr w:type="gramStart"/>
            <w:r w:rsidRPr="002B4529">
              <w:rPr>
                <w:sz w:val="26"/>
                <w:szCs w:val="26"/>
              </w:rPr>
              <w:t>предоставле</w:t>
            </w:r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Pr="002B4529">
              <w:rPr>
                <w:sz w:val="26"/>
                <w:szCs w:val="26"/>
              </w:rPr>
              <w:t xml:space="preserve"> субсидий за счет средств бюджета </w:t>
            </w:r>
            <w:proofErr w:type="spellStart"/>
            <w:r w:rsidRPr="002B4529">
              <w:rPr>
                <w:sz w:val="26"/>
                <w:szCs w:val="26"/>
              </w:rPr>
              <w:t>Находкинс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2B4529">
              <w:rPr>
                <w:sz w:val="26"/>
                <w:szCs w:val="26"/>
              </w:rPr>
              <w:t xml:space="preserve">кого  городского округа     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r w:rsidRPr="00DF4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субсидий за счет средств бюджета Находкинского  городского округа</w:t>
            </w:r>
          </w:p>
        </w:tc>
      </w:tr>
      <w:tr w:rsidR="00B26035" w:rsidRPr="006D6CFD" w:rsidTr="00052A25">
        <w:trPr>
          <w:trHeight w:val="301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DF449D" w:rsidRDefault="00B26035" w:rsidP="00052A25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B26035" w:rsidRPr="006D6CFD" w:rsidTr="00052A25">
        <w:trPr>
          <w:trHeight w:val="375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00330E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0330E">
              <w:rPr>
                <w:sz w:val="26"/>
                <w:szCs w:val="26"/>
              </w:rPr>
              <w:t>ной</w:t>
            </w:r>
            <w:proofErr w:type="gramEnd"/>
            <w:r w:rsidRPr="0000330E">
              <w:rPr>
                <w:sz w:val="26"/>
                <w:szCs w:val="26"/>
              </w:rPr>
              <w:t xml:space="preserve"> поддержки</w:t>
            </w:r>
          </w:p>
          <w:p w:rsidR="00B26035" w:rsidRPr="002B4529" w:rsidRDefault="00B26035" w:rsidP="00052A25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 НКО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 w:rsidRPr="00A208B6">
              <w:rPr>
                <w:sz w:val="26"/>
                <w:szCs w:val="26"/>
              </w:rPr>
              <w:t xml:space="preserve">отдел по связям с </w:t>
            </w:r>
            <w:proofErr w:type="gramStart"/>
            <w:r w:rsidRPr="00A208B6">
              <w:rPr>
                <w:sz w:val="26"/>
                <w:szCs w:val="26"/>
              </w:rPr>
              <w:t>обществен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A208B6">
              <w:rPr>
                <w:sz w:val="26"/>
                <w:szCs w:val="26"/>
              </w:rPr>
              <w:t>ностью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управления</w:t>
            </w:r>
          </w:p>
          <w:p w:rsidR="00B26035" w:rsidRDefault="00B26035" w:rsidP="00052A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внешних </w:t>
            </w:r>
            <w:proofErr w:type="spellStart"/>
            <w:proofErr w:type="gramStart"/>
            <w:r>
              <w:rPr>
                <w:sz w:val="26"/>
                <w:szCs w:val="26"/>
              </w:rPr>
              <w:t>коммуника-ций</w:t>
            </w:r>
            <w:proofErr w:type="spellEnd"/>
            <w:proofErr w:type="gramEnd"/>
          </w:p>
          <w:p w:rsidR="00B26035" w:rsidRPr="00F005D8" w:rsidRDefault="00B26035" w:rsidP="00052A2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администра-ции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оказанных СО НКО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консульта-ций</w:t>
            </w:r>
            <w:proofErr w:type="spellEnd"/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92DFD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Default="00B26035" w:rsidP="00052A25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</w:tc>
      </w:tr>
      <w:tr w:rsidR="00B26035" w:rsidRPr="006D6CFD" w:rsidTr="00052A25">
        <w:trPr>
          <w:trHeight w:val="289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suppressAutoHyphens/>
              <w:ind w:right="-29"/>
              <w:jc w:val="center"/>
            </w:pPr>
            <w:r w:rsidRPr="00FF0EE8">
              <w:t>Организация участия СО НКО в семинарах и иных мероприятий по обмену опытом</w:t>
            </w:r>
          </w:p>
          <w:p w:rsidR="00B26035" w:rsidRPr="00FF0EE8" w:rsidRDefault="00B26035" w:rsidP="00052A25">
            <w:pPr>
              <w:suppressAutoHyphens/>
              <w:ind w:right="-29"/>
              <w:jc w:val="center"/>
            </w:pPr>
            <w:r w:rsidRPr="00FF0EE8">
              <w:t xml:space="preserve"> и </w:t>
            </w:r>
            <w:proofErr w:type="spellStart"/>
            <w:proofErr w:type="gramStart"/>
            <w:r w:rsidRPr="00FF0EE8">
              <w:t>распростране-нию</w:t>
            </w:r>
            <w:proofErr w:type="spellEnd"/>
            <w:proofErr w:type="gramEnd"/>
            <w:r w:rsidRPr="00FF0EE8">
              <w:t xml:space="preserve"> лучших практик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jc w:val="center"/>
            </w:pPr>
            <w:r w:rsidRPr="00FF0EE8">
              <w:t xml:space="preserve">отдел по связям с </w:t>
            </w:r>
            <w:proofErr w:type="gramStart"/>
            <w:r w:rsidRPr="00FF0EE8">
              <w:t>обществен-</w:t>
            </w:r>
            <w:proofErr w:type="spellStart"/>
            <w:r w:rsidRPr="00FF0EE8">
              <w:t>ностью</w:t>
            </w:r>
            <w:proofErr w:type="spellEnd"/>
            <w:proofErr w:type="gramEnd"/>
          </w:p>
          <w:p w:rsidR="00B26035" w:rsidRPr="00FF0EE8" w:rsidRDefault="00B26035" w:rsidP="00052A25">
            <w:pPr>
              <w:jc w:val="center"/>
            </w:pPr>
            <w:r w:rsidRPr="00FF0EE8">
              <w:t>управления</w:t>
            </w:r>
          </w:p>
          <w:p w:rsidR="00B26035" w:rsidRPr="00FF0EE8" w:rsidRDefault="00B26035" w:rsidP="00052A25">
            <w:pPr>
              <w:jc w:val="center"/>
            </w:pPr>
            <w:r w:rsidRPr="00FF0EE8">
              <w:t xml:space="preserve">внешних </w:t>
            </w:r>
            <w:proofErr w:type="spellStart"/>
            <w:proofErr w:type="gramStart"/>
            <w:r w:rsidRPr="00FF0EE8">
              <w:t>коммуника-ций</w:t>
            </w:r>
            <w:proofErr w:type="spellEnd"/>
            <w:proofErr w:type="gramEnd"/>
          </w:p>
          <w:p w:rsidR="00B26035" w:rsidRPr="00FF0EE8" w:rsidRDefault="00B26035" w:rsidP="00052A25">
            <w:pPr>
              <w:jc w:val="center"/>
            </w:pPr>
            <w:proofErr w:type="spellStart"/>
            <w:proofErr w:type="gramStart"/>
            <w:r w:rsidRPr="00FF0EE8">
              <w:t>администра-ции</w:t>
            </w:r>
            <w:proofErr w:type="spellEnd"/>
            <w:proofErr w:type="gramEnd"/>
            <w:r w:rsidRPr="00FF0EE8">
              <w:t xml:space="preserve"> НГО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СО НКО в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мероприя-тиях</w:t>
            </w:r>
            <w:proofErr w:type="spellEnd"/>
            <w:proofErr w:type="gramEnd"/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</w:t>
            </w: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&lt;=5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FF0EE8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&lt;=5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35" w:rsidRPr="00292162" w:rsidRDefault="00B26035" w:rsidP="00052A25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035" w:rsidRPr="00F81212" w:rsidRDefault="00B26035" w:rsidP="00484810">
      <w:pPr>
        <w:suppressAutoHyphens/>
        <w:spacing w:line="360" w:lineRule="auto"/>
        <w:ind w:right="-29"/>
        <w:jc w:val="both"/>
        <w:rPr>
          <w:sz w:val="26"/>
          <w:szCs w:val="26"/>
        </w:rPr>
      </w:pPr>
      <w:bookmarkStart w:id="0" w:name="_GoBack"/>
      <w:bookmarkEnd w:id="0"/>
    </w:p>
    <w:sectPr w:rsidR="00B26035" w:rsidRPr="00F81212" w:rsidSect="00B37B52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B4" w:rsidRDefault="007B5FB4" w:rsidP="00B95DF9">
      <w:r>
        <w:separator/>
      </w:r>
    </w:p>
  </w:endnote>
  <w:endnote w:type="continuationSeparator" w:id="0">
    <w:p w:rsidR="007B5FB4" w:rsidRDefault="007B5FB4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B4" w:rsidRDefault="007B5FB4" w:rsidP="00B95DF9">
      <w:r>
        <w:separator/>
      </w:r>
    </w:p>
  </w:footnote>
  <w:footnote w:type="continuationSeparator" w:id="0">
    <w:p w:rsidR="007B5FB4" w:rsidRDefault="007B5FB4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B95DF9" w:rsidRDefault="00B9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35">
          <w:rPr>
            <w:noProof/>
          </w:rPr>
          <w:t>5</w:t>
        </w:r>
        <w:r>
          <w:fldChar w:fldCharType="end"/>
        </w:r>
      </w:p>
    </w:sdtContent>
  </w:sdt>
  <w:p w:rsidR="00B95DF9" w:rsidRDefault="00B95D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C1C71"/>
    <w:rsid w:val="00111B31"/>
    <w:rsid w:val="0041410C"/>
    <w:rsid w:val="00481849"/>
    <w:rsid w:val="00482AF0"/>
    <w:rsid w:val="00484810"/>
    <w:rsid w:val="004A2CE1"/>
    <w:rsid w:val="00534828"/>
    <w:rsid w:val="00623C72"/>
    <w:rsid w:val="007B5FB4"/>
    <w:rsid w:val="007E761D"/>
    <w:rsid w:val="0080292C"/>
    <w:rsid w:val="00847DC6"/>
    <w:rsid w:val="009B29E4"/>
    <w:rsid w:val="00AE788F"/>
    <w:rsid w:val="00B26035"/>
    <w:rsid w:val="00B37B52"/>
    <w:rsid w:val="00B857DE"/>
    <w:rsid w:val="00B95DF9"/>
    <w:rsid w:val="00BC3D52"/>
    <w:rsid w:val="00C5789D"/>
    <w:rsid w:val="00CA0C16"/>
    <w:rsid w:val="00CF5E5B"/>
    <w:rsid w:val="00D97063"/>
    <w:rsid w:val="00DB33A9"/>
    <w:rsid w:val="00D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3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B37B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3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15</cp:revision>
  <cp:lastPrinted>2020-07-20T02:03:00Z</cp:lastPrinted>
  <dcterms:created xsi:type="dcterms:W3CDTF">2020-05-12T23:20:00Z</dcterms:created>
  <dcterms:modified xsi:type="dcterms:W3CDTF">2020-08-28T01:51:00Z</dcterms:modified>
</cp:coreProperties>
</file>