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E5102F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«16» октября 2020 года № 1093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A4718A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"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2021 - 2024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3A161E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61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Находкинского городского округа</w:t>
            </w:r>
          </w:p>
        </w:tc>
      </w:tr>
      <w:tr w:rsidR="00BB082B" w:rsidRPr="00930FA8" w:rsidTr="00BB082B">
        <w:tc>
          <w:tcPr>
            <w:tcW w:w="3119" w:type="dxa"/>
          </w:tcPr>
          <w:p w:rsidR="00BB082B" w:rsidRPr="004F2FB9" w:rsidRDefault="00BB082B" w:rsidP="00842E06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BB082B" w:rsidRPr="001B7488" w:rsidRDefault="00B66928" w:rsidP="00BB08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B5168D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BB082B" w:rsidRPr="00B5168D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1876FE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BB082B" w:rsidRPr="001876FE" w:rsidRDefault="00BB082B" w:rsidP="00BB082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Pr="00930FA8" w:rsidRDefault="00BB082B" w:rsidP="00BB082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BB082B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содержания</w:t>
            </w:r>
            <w:r w:rsidRPr="00E46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озеленения  общественных территорий и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внешнего благоустройства Находкинского городского округа</w:t>
            </w:r>
          </w:p>
          <w:p w:rsidR="00BB082B" w:rsidRPr="004F2FB9" w:rsidRDefault="00BB082B" w:rsidP="00D02C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.г.</w:t>
            </w:r>
          </w:p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Default="00BB082B" w:rsidP="00BB082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</w:t>
            </w:r>
          </w:p>
          <w:p w:rsidR="00BB082B" w:rsidRPr="00930FA8" w:rsidRDefault="00BB082B" w:rsidP="00BB082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озеленением; </w:t>
            </w:r>
          </w:p>
          <w:p w:rsidR="00BB082B" w:rsidRPr="00930FA8" w:rsidRDefault="00BB082B" w:rsidP="00BB082B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BB082B" w:rsidRPr="00930FA8" w:rsidTr="00BB082B">
        <w:trPr>
          <w:trHeight w:val="2663"/>
        </w:trPr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 составляет 4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руб., в том числе: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Находкинского городского округа – 4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 по годам: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- 2022 год – 1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00,0 тыс. руб. </w:t>
            </w:r>
          </w:p>
          <w:p w:rsidR="00BB082B" w:rsidRPr="008A3C93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600,0 тыс. руб.</w:t>
            </w:r>
          </w:p>
          <w:p w:rsidR="00BB082B" w:rsidRPr="001B7488" w:rsidRDefault="00BB082B" w:rsidP="008A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- 2024 год – 1</w:t>
            </w:r>
            <w:r w:rsidR="00EC6184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500,0 тыс.руб.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</w:t>
            </w:r>
          </w:p>
        </w:tc>
        <w:tc>
          <w:tcPr>
            <w:tcW w:w="6912" w:type="dxa"/>
          </w:tcPr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мероприятий муниц</w:t>
            </w:r>
            <w:r w:rsid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ипальной программы составляет–</w:t>
            </w:r>
            <w:r w:rsidR="00AF6C50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F6C50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598</w:t>
            </w:r>
            <w:r w:rsidR="00AF6C50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B143F" w:rsidRPr="008B1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тыс.руб., в том числе: бюджет Находкинского городского округа – </w:t>
            </w:r>
          </w:p>
          <w:p w:rsidR="00BB082B" w:rsidRPr="008A3C93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</w:t>
            </w:r>
            <w:r w:rsidR="00D02CBA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2CBA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D02CBA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A3C93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8B143F" w:rsidRPr="00A869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02CBA"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B143F" w:rsidRPr="00A869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тыс.руб.</w:t>
            </w:r>
          </w:p>
          <w:p w:rsidR="00BB082B" w:rsidRPr="008A3C93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- 64 733,72 тыс.руб.</w:t>
            </w:r>
          </w:p>
          <w:p w:rsidR="00BB082B" w:rsidRPr="008A3C93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- 64 733,72 тыс.руб.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 тыс.руб.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тыс.руб. 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0,00 тыс.руб.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- 0,00 тыс.руб.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 тыс.руб.;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тыс.руб. 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0,00 тыс.руб.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0,00 тыс.руб.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 тыс.руб.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 составит к 2024 г. - 100%</w:t>
            </w:r>
          </w:p>
          <w:p w:rsidR="00BB082B" w:rsidRPr="00930FA8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озеленением составит к 2024 г. - 100%</w:t>
            </w:r>
          </w:p>
          <w:p w:rsidR="00BB082B" w:rsidRPr="00930FA8" w:rsidRDefault="00BB082B" w:rsidP="008B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количества восстановленных и (или) замененных элементов благоустройства составит </w:t>
            </w:r>
            <w:r w:rsidR="008A3C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B143F" w:rsidRPr="008B1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ед. к 2024 году</w:t>
            </w:r>
          </w:p>
        </w:tc>
      </w:tr>
    </w:tbl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 xml:space="preserve">на 2021-2024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направленностью на повышение уровня благоустройства территории. Успешное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расположено 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посещаемых объектов благоустройства (скверов, </w:t>
      </w:r>
      <w:r w:rsidR="00053F6B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зон), требующих ежедневного содержания для поддержания их  в нормативном санитарном состоянии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4F2FB9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вандальных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значимого для жителей города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Памятнике Победы в Великой Отечественной войне 1941-1945 гг.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</w:p>
    <w:p w:rsidR="00EF510F" w:rsidRPr="00A55427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обеспечивать своевременную обрезку и валку сухих, аварийных </w:t>
      </w:r>
      <w:r w:rsidR="0065595C" w:rsidRPr="00A55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регулярной формовочной обрезкой добиваться высокого эстетического уровня посадок зеленых насаждений.</w:t>
      </w:r>
    </w:p>
    <w:p w:rsidR="00D66343" w:rsidRPr="00A55427" w:rsidRDefault="00647E1F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 xml:space="preserve">Для решения проблемы с отсутствием мест выгула домашних животных, на территориях, отведенных под указанные цели в 2021 году, необходимо провести мероприятия по обустройству с учетом требований действующего законодательства. 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3352CD" w:rsidRDefault="003352CD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443D8" w:rsidRPr="00A4718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  <w:r w:rsidR="00647E1F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>
        <w:rPr>
          <w:rFonts w:ascii="Times New Roman" w:hAnsi="Times New Roman" w:cs="Times New Roman"/>
          <w:sz w:val="26"/>
          <w:szCs w:val="26"/>
        </w:rPr>
        <w:t>21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A4718A">
        <w:rPr>
          <w:rFonts w:ascii="Times New Roman" w:hAnsi="Times New Roman" w:cs="Times New Roman"/>
          <w:sz w:val="26"/>
          <w:szCs w:val="26"/>
        </w:rPr>
        <w:t>2</w:t>
      </w:r>
      <w:r w:rsidR="00F14DB8">
        <w:rPr>
          <w:rFonts w:ascii="Times New Roman" w:hAnsi="Times New Roman" w:cs="Times New Roman"/>
          <w:sz w:val="26"/>
          <w:szCs w:val="26"/>
        </w:rPr>
        <w:t>4</w:t>
      </w:r>
      <w:r w:rsidRPr="00A4718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A4718A">
        <w:rPr>
          <w:rFonts w:ascii="Times New Roman" w:hAnsi="Times New Roman" w:cs="Times New Roman"/>
          <w:sz w:val="26"/>
          <w:szCs w:val="26"/>
        </w:rPr>
        <w:t>ов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647E1F" w:rsidRDefault="00647E1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647E1F" w:rsidRDefault="00647E1F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410"/>
      </w:tblGrid>
      <w:tr w:rsidR="00941643" w:rsidRPr="004F2FB9" w:rsidTr="00647E1F">
        <w:trPr>
          <w:trHeight w:val="642"/>
        </w:trPr>
        <w:tc>
          <w:tcPr>
            <w:tcW w:w="567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</w:t>
            </w:r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26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647E1F">
        <w:trPr>
          <w:trHeight w:val="245"/>
        </w:trPr>
        <w:tc>
          <w:tcPr>
            <w:tcW w:w="567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260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Р2–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1411"/>
        </w:trPr>
        <w:tc>
          <w:tcPr>
            <w:tcW w:w="567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Р2–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285"/>
        </w:trPr>
        <w:tc>
          <w:tcPr>
            <w:tcW w:w="567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</w:t>
      </w:r>
      <w:r w:rsidR="00C67730" w:rsidRPr="00647E1F">
        <w:rPr>
          <w:rFonts w:ascii="Times New Roman" w:hAnsi="Times New Roman" w:cs="Times New Roman"/>
          <w:sz w:val="26"/>
          <w:szCs w:val="26"/>
        </w:rPr>
        <w:t>-</w:t>
      </w:r>
      <w:r w:rsidR="00E207D4" w:rsidRPr="00647E1F">
        <w:rPr>
          <w:rFonts w:ascii="Times New Roman" w:hAnsi="Times New Roman" w:cs="Times New Roman"/>
          <w:sz w:val="26"/>
          <w:szCs w:val="26"/>
        </w:rPr>
        <w:t>8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выкашивание зеленых зон  со сбором и вывозом выкошенной травы;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леерных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аварийных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уходные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уходные работы (прополка, рыхление, полив, уборка отцветших растений);  уходные работы (прополка, рыхление, формовочная обрезка) за декоративным кустарником, высаженным на территориях общего пользования;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леерного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050E72" w:rsidRDefault="00050E72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0E72" w:rsidRDefault="00050E72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муниципальной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0B0DC409" wp14:editId="2A265461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Iцiфакт - фактическое значение i-го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Iцiплан - плановое значение i-го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1B7FCF2E" wp14:editId="113BC532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При использовании данной формулы в случаях, если Iцi больше 1, значение Iцi принимается равным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D08CC75" wp14:editId="15986E50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</w:t>
      </w:r>
      <w:r w:rsidR="00B443D8" w:rsidRPr="00A4718A">
        <w:rPr>
          <w:rFonts w:ascii="Times New Roman" w:hAnsi="Times New Roman" w:cs="Times New Roman"/>
          <w:sz w:val="26"/>
          <w:szCs w:val="26"/>
        </w:rPr>
        <w:t>цi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муниципальной программы (подпрограммы) в отчетном периоде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= 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A4718A">
        <w:rPr>
          <w:rFonts w:ascii="Times New Roman" w:hAnsi="Times New Roman" w:cs="Times New Roman"/>
          <w:sz w:val="26"/>
          <w:szCs w:val="26"/>
        </w:rPr>
        <w:t xml:space="preserve"> 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Мр = Мв / М,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Мр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Мв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от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 иным мероприятиям результаты реализации могут оцениваться как наступление или ненаступление события (событий) и (или) достижение качественного результата (оценка проводится экспертно).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3CCA352" wp14:editId="2CA2335E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Мр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 Э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 Э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718A" w:rsidRDefault="00A8693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835" w:rsidRDefault="007F383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7F3835" w:rsidRDefault="007F3835" w:rsidP="007F3835">
      <w:pPr>
        <w:autoSpaceDE w:val="0"/>
        <w:autoSpaceDN w:val="0"/>
        <w:adjustRightInd w:val="0"/>
        <w:spacing w:after="0" w:line="36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7F3835" w:rsidSect="00BB082B">
          <w:headerReference w:type="default" r:id="rId14"/>
          <w:pgSz w:w="11906" w:h="16838"/>
          <w:pgMar w:top="678" w:right="567" w:bottom="567" w:left="1276" w:header="397" w:footer="397" w:gutter="0"/>
          <w:cols w:space="708"/>
          <w:docGrid w:linePitch="360"/>
        </w:sectPr>
      </w:pPr>
    </w:p>
    <w:p w:rsidR="007F3835" w:rsidRPr="008A4B99" w:rsidRDefault="007F3835" w:rsidP="0040121D">
      <w:pPr>
        <w:autoSpaceDE w:val="0"/>
        <w:autoSpaceDN w:val="0"/>
        <w:adjustRightInd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A37271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7F3835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№1093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территорий Находкинского городского округа на  2021-2024 годы»</w:t>
      </w:r>
    </w:p>
    <w:p w:rsidR="006707A9" w:rsidRPr="007F3835" w:rsidRDefault="006707A9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6859"/>
        <w:gridCol w:w="1249"/>
        <w:gridCol w:w="930"/>
        <w:gridCol w:w="954"/>
        <w:gridCol w:w="979"/>
        <w:gridCol w:w="972"/>
        <w:gridCol w:w="827"/>
        <w:gridCol w:w="1662"/>
      </w:tblGrid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7F3835" w:rsidRPr="007F3835" w:rsidTr="00BF5629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8B143F" w:rsidRDefault="008B143F" w:rsidP="00B17B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8B143F" w:rsidRDefault="008B143F" w:rsidP="007F3835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8B143F" w:rsidRDefault="008B143F" w:rsidP="007F3835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8B143F" w:rsidRDefault="008B143F" w:rsidP="007F3835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8B143F" w:rsidRDefault="008B143F" w:rsidP="007F3835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337</w:t>
            </w:r>
          </w:p>
        </w:tc>
      </w:tr>
    </w:tbl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Pr="008A4B99" w:rsidRDefault="007F3835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28169C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8A4B9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1093</w:t>
      </w:r>
    </w:p>
    <w:p w:rsidR="000652EF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EF" w:rsidRPr="007F3835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374C8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7374C8" w:rsidRPr="00EC6184" w:rsidRDefault="007374C8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2EF" w:rsidRPr="007F3835" w:rsidRDefault="000652EF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6096"/>
        <w:gridCol w:w="3118"/>
        <w:gridCol w:w="1276"/>
        <w:gridCol w:w="1134"/>
        <w:gridCol w:w="1134"/>
        <w:gridCol w:w="1145"/>
      </w:tblGrid>
      <w:tr w:rsidR="007012C9" w:rsidRPr="007F3835" w:rsidTr="000652EF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7012C9" w:rsidRPr="007F3835" w:rsidTr="000652EF">
        <w:trPr>
          <w:trHeight w:val="5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012C9" w:rsidRPr="007F3835" w:rsidTr="00AB7DAD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2021-2024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11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7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5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22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DE554D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</w:t>
            </w:r>
            <w:r w:rsidR="006B46F6" w:rsidRPr="00DE554D">
              <w:rPr>
                <w:rFonts w:ascii="Times New Roman" w:hAnsi="Times New Roman"/>
                <w:sz w:val="24"/>
                <w:szCs w:val="24"/>
              </w:rPr>
              <w:t>8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  <w:tr w:rsidR="007012C9" w:rsidRPr="007F3835" w:rsidTr="00AB7DAD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6B46F6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F6">
              <w:rPr>
                <w:rFonts w:ascii="Times New Roman" w:hAnsi="Times New Roman"/>
                <w:sz w:val="24"/>
                <w:szCs w:val="24"/>
              </w:rPr>
              <w:t>11</w:t>
            </w:r>
            <w:r w:rsidR="006B46F6" w:rsidRPr="006B46F6">
              <w:rPr>
                <w:rFonts w:ascii="Times New Roman" w:hAnsi="Times New Roman"/>
                <w:sz w:val="24"/>
                <w:szCs w:val="24"/>
              </w:rPr>
              <w:t>7</w:t>
            </w:r>
            <w:r w:rsidRPr="006B46F6">
              <w:rPr>
                <w:rFonts w:ascii="Times New Roman" w:hAnsi="Times New Roman"/>
                <w:sz w:val="24"/>
                <w:szCs w:val="24"/>
              </w:rPr>
              <w:t> </w:t>
            </w:r>
            <w:r w:rsidR="006B46F6" w:rsidRPr="006B46F6">
              <w:rPr>
                <w:rFonts w:ascii="Times New Roman" w:hAnsi="Times New Roman"/>
                <w:sz w:val="24"/>
                <w:szCs w:val="24"/>
              </w:rPr>
              <w:t>5</w:t>
            </w:r>
            <w:r w:rsidRPr="006B46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6B46F6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 w:rsidR="006B46F6">
              <w:rPr>
                <w:rFonts w:ascii="Times New Roman" w:hAnsi="Times New Roman"/>
                <w:sz w:val="24"/>
                <w:szCs w:val="24"/>
              </w:rPr>
              <w:t>22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6B46F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12</w:t>
            </w:r>
            <w:r w:rsidR="006B46F6">
              <w:rPr>
                <w:rFonts w:ascii="Times New Roman" w:hAnsi="Times New Roman"/>
                <w:sz w:val="24"/>
                <w:szCs w:val="24"/>
              </w:rPr>
              <w:t>8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C8" w:rsidRPr="007F3835" w:rsidTr="008A4B99">
        <w:trPr>
          <w:trHeight w:val="32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AB7DAD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865C0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6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C10F14" w:rsidRDefault="00896FAA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14">
              <w:rPr>
                <w:rFonts w:ascii="Times New Roman" w:hAnsi="Times New Roman"/>
                <w:sz w:val="24"/>
                <w:szCs w:val="24"/>
              </w:rPr>
              <w:t>8</w:t>
            </w:r>
            <w:r w:rsidR="007012C9" w:rsidRPr="00C10F1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B17B1C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012C9" w:rsidRPr="007F38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D645B4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аварийных деревьев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2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8A4B99">
        <w:trPr>
          <w:trHeight w:val="5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7374C8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7374C8">
        <w:trPr>
          <w:trHeight w:val="6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7374C8">
        <w:trPr>
          <w:trHeight w:val="3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4C8" w:rsidRPr="007F3835" w:rsidTr="000652EF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C8" w:rsidRPr="007F3835" w:rsidRDefault="007374C8" w:rsidP="007374C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7374C8">
        <w:trPr>
          <w:trHeight w:val="152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7374C8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AB7DAD">
        <w:trPr>
          <w:trHeight w:val="42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7374C8">
        <w:trPr>
          <w:trHeight w:val="164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7374C8">
        <w:trPr>
          <w:trHeight w:val="178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7374C8">
        <w:trPr>
          <w:trHeight w:val="58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1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96" w:type="dxa"/>
            <w:vMerge w:val="restart"/>
          </w:tcPr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7012C9" w:rsidRPr="004B0CCB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Pr="004B0CCB" w:rsidRDefault="007012C9" w:rsidP="00AD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rPr>
          <w:trHeight w:val="28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rPr>
          <w:trHeight w:val="71"/>
        </w:trPr>
        <w:tc>
          <w:tcPr>
            <w:tcW w:w="708" w:type="dxa"/>
            <w:vMerge w:val="restart"/>
            <w:hideMark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096" w:type="dxa"/>
            <w:vMerge w:val="restart"/>
          </w:tcPr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  <w:p w:rsidR="004C0A3E" w:rsidRPr="004B0CCB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Default="004C0A3E" w:rsidP="00D6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0A3E" w:rsidRPr="004B0CCB" w:rsidRDefault="004C0A3E" w:rsidP="00D663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C0A3E" w:rsidRPr="007F3835" w:rsidRDefault="00C10F14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4C0A3E" w:rsidRPr="007F3835" w:rsidTr="00D66343">
        <w:trPr>
          <w:trHeight w:val="281"/>
        </w:trPr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4C0A3E" w:rsidRPr="007F3835" w:rsidRDefault="00C10F14" w:rsidP="004C0A3E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A3E" w:rsidRPr="007F3835" w:rsidTr="00D66343">
        <w:tc>
          <w:tcPr>
            <w:tcW w:w="708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4C0A3E" w:rsidRPr="007F3835" w:rsidRDefault="004C0A3E" w:rsidP="00D6634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4C0A3E" w:rsidRPr="007F3835" w:rsidRDefault="004C0A3E" w:rsidP="00D6634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0A3E" w:rsidRPr="007F3835" w:rsidRDefault="004C0A3E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928" w:rsidRDefault="00050E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F3835" w:rsidRPr="008A4B99" w:rsidRDefault="000652EF" w:rsidP="000652E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</w:t>
      </w:r>
      <w:r w:rsidR="007012C9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F3835" w:rsidRPr="008A4B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40121D" w:rsidRPr="008A4B9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</w:t>
      </w:r>
    </w:p>
    <w:p w:rsidR="007F3835" w:rsidRPr="00BF562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16.10.2020 №</w:t>
      </w:r>
      <w:r w:rsidR="007012C9"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1093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F383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(тыс.руб.) «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2021-2024 годы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2128"/>
        <w:gridCol w:w="850"/>
        <w:gridCol w:w="851"/>
        <w:gridCol w:w="1559"/>
        <w:gridCol w:w="992"/>
        <w:gridCol w:w="992"/>
        <w:gridCol w:w="992"/>
        <w:gridCol w:w="992"/>
        <w:gridCol w:w="709"/>
      </w:tblGrid>
      <w:tr w:rsidR="007012C9" w:rsidRPr="00983526" w:rsidTr="007012C9">
        <w:trPr>
          <w:trHeight w:val="253"/>
        </w:trPr>
        <w:tc>
          <w:tcPr>
            <w:tcW w:w="709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3968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Ответственный исполнитель</w:t>
            </w:r>
          </w:p>
        </w:tc>
        <w:tc>
          <w:tcPr>
            <w:tcW w:w="4252" w:type="dxa"/>
            <w:gridSpan w:val="4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Код бюджетной классификации</w:t>
            </w:r>
          </w:p>
        </w:tc>
        <w:tc>
          <w:tcPr>
            <w:tcW w:w="3685" w:type="dxa"/>
            <w:gridSpan w:val="4"/>
            <w:vAlign w:val="center"/>
          </w:tcPr>
          <w:p w:rsidR="007012C9" w:rsidRPr="00983526" w:rsidRDefault="007012C9" w:rsidP="00AD6170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Расходы (тыс.руб.), г</w:t>
            </w: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оды</w:t>
            </w:r>
          </w:p>
        </w:tc>
      </w:tr>
      <w:tr w:rsidR="007012C9" w:rsidRPr="00983526" w:rsidTr="007012C9">
        <w:tc>
          <w:tcPr>
            <w:tcW w:w="709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968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128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ГРБС</w:t>
            </w:r>
          </w:p>
        </w:tc>
        <w:tc>
          <w:tcPr>
            <w:tcW w:w="851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РзПр</w:t>
            </w:r>
          </w:p>
        </w:tc>
        <w:tc>
          <w:tcPr>
            <w:tcW w:w="1559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ЦСР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ВР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2024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1</w:t>
            </w:r>
          </w:p>
        </w:tc>
        <w:tc>
          <w:tcPr>
            <w:tcW w:w="396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212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3</w:t>
            </w:r>
          </w:p>
        </w:tc>
        <w:tc>
          <w:tcPr>
            <w:tcW w:w="850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012C9" w:rsidRPr="004A4A7F" w:rsidTr="007012C9"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968" w:type="dxa"/>
          </w:tcPr>
          <w:p w:rsidR="007012C9" w:rsidRPr="004A4A7F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Благоустройство территорий Находкинского городского округа» на  2021-2024 годы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2500000000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8B143F" w:rsidRDefault="007012C9" w:rsidP="008B143F">
            <w:pPr>
              <w:adjustRightInd w:val="0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4A4A7F">
              <w:rPr>
                <w:rFonts w:ascii="Times New Roman" w:hAnsi="Times New Roman"/>
              </w:rPr>
              <w:t>7</w:t>
            </w:r>
            <w:r w:rsidR="008A3C93">
              <w:rPr>
                <w:rFonts w:ascii="Times New Roman" w:hAnsi="Times New Roman"/>
              </w:rPr>
              <w:t>9</w:t>
            </w:r>
            <w:r w:rsidRPr="004A4A7F">
              <w:rPr>
                <w:rFonts w:ascii="Times New Roman" w:hAnsi="Times New Roman"/>
              </w:rPr>
              <w:t> </w:t>
            </w:r>
            <w:r w:rsidR="008B143F">
              <w:rPr>
                <w:rFonts w:ascii="Times New Roman" w:hAnsi="Times New Roman"/>
                <w:lang w:val="en-US"/>
              </w:rPr>
              <w:t>131</w:t>
            </w:r>
            <w:r w:rsidRPr="004A4A7F">
              <w:rPr>
                <w:rFonts w:ascii="Times New Roman" w:hAnsi="Times New Roman"/>
              </w:rPr>
              <w:t>,</w:t>
            </w:r>
            <w:r w:rsidR="008B143F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64733,72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64733,72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4A4A7F" w:rsidTr="007012C9">
        <w:tc>
          <w:tcPr>
            <w:tcW w:w="70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968" w:type="dxa"/>
          </w:tcPr>
          <w:p w:rsidR="007012C9" w:rsidRPr="004A4A7F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2590143070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8B143F" w:rsidRDefault="007012C9" w:rsidP="008B143F">
            <w:pPr>
              <w:adjustRightInd w:val="0"/>
              <w:ind w:left="-109" w:right="-107"/>
              <w:jc w:val="center"/>
              <w:rPr>
                <w:rFonts w:ascii="Times New Roman" w:hAnsi="Times New Roman"/>
                <w:lang w:val="en-US"/>
              </w:rPr>
            </w:pPr>
            <w:r w:rsidRPr="004A4A7F">
              <w:rPr>
                <w:rFonts w:ascii="Times New Roman" w:hAnsi="Times New Roman"/>
              </w:rPr>
              <w:t>37</w:t>
            </w:r>
            <w:r w:rsidR="00E12CB9">
              <w:rPr>
                <w:rFonts w:ascii="Times New Roman" w:hAnsi="Times New Roman"/>
              </w:rPr>
              <w:t> </w:t>
            </w:r>
            <w:r w:rsidRPr="004A4A7F">
              <w:rPr>
                <w:rFonts w:ascii="Times New Roman" w:hAnsi="Times New Roman"/>
              </w:rPr>
              <w:t>9</w:t>
            </w:r>
            <w:r w:rsidR="00E12CB9">
              <w:rPr>
                <w:rFonts w:ascii="Times New Roman" w:hAnsi="Times New Roman"/>
              </w:rPr>
              <w:t>77,</w:t>
            </w:r>
            <w:r w:rsidR="008B143F"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38000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38000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4A4A7F" w:rsidTr="007012C9">
        <w:tc>
          <w:tcPr>
            <w:tcW w:w="70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3968" w:type="dxa"/>
          </w:tcPr>
          <w:p w:rsidR="007012C9" w:rsidRPr="004A4A7F" w:rsidRDefault="007012C9" w:rsidP="00AD617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Озеленение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территорий и мест общего пользования Находкинского городского округа</w:t>
            </w: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2590143010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E12CB9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</w:t>
            </w:r>
            <w:r w:rsidR="00E12CB9">
              <w:rPr>
                <w:rFonts w:ascii="Times New Roman" w:hAnsi="Times New Roman"/>
              </w:rPr>
              <w:t>9</w:t>
            </w:r>
            <w:r w:rsidRPr="004A4A7F">
              <w:rPr>
                <w:rFonts w:ascii="Times New Roman" w:hAnsi="Times New Roman"/>
              </w:rPr>
              <w:t xml:space="preserve"> 533,72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23133,72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23133,72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968" w:type="dxa"/>
          </w:tcPr>
          <w:p w:rsidR="007012C9" w:rsidRPr="00AD3E16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2128" w:type="dxa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992" w:type="dxa"/>
            <w:vAlign w:val="center"/>
          </w:tcPr>
          <w:p w:rsidR="007012C9" w:rsidRPr="00AD3E16" w:rsidRDefault="007012C9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867E59">
        <w:tc>
          <w:tcPr>
            <w:tcW w:w="70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012C9" w:rsidRPr="004A4A7F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аварийных деревьев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2590143100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</w:t>
            </w:r>
            <w:r w:rsidR="00E12CB9">
              <w:rPr>
                <w:rFonts w:ascii="Times New Roman" w:hAnsi="Times New Roman"/>
              </w:rPr>
              <w:t> 362,5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867E59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968" w:type="dxa"/>
          </w:tcPr>
          <w:p w:rsidR="007012C9" w:rsidRPr="00AD3E16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2128" w:type="dxa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DF0B0E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DF0B0E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FA39AC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AC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992" w:type="dxa"/>
            <w:vAlign w:val="center"/>
          </w:tcPr>
          <w:p w:rsidR="007012C9" w:rsidRPr="00DF0B0E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3000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3000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3000</w:t>
            </w:r>
          </w:p>
        </w:tc>
        <w:tc>
          <w:tcPr>
            <w:tcW w:w="709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1</w:t>
            </w:r>
          </w:p>
        </w:tc>
        <w:tc>
          <w:tcPr>
            <w:tcW w:w="3968" w:type="dxa"/>
          </w:tcPr>
          <w:p w:rsidR="007012C9" w:rsidRPr="00AE498C" w:rsidRDefault="000652EF" w:rsidP="000652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8" w:type="dxa"/>
          </w:tcPr>
          <w:p w:rsidR="007012C9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850" w:type="dxa"/>
            <w:vAlign w:val="center"/>
          </w:tcPr>
          <w:p w:rsidR="007012C9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7012C9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7012C9" w:rsidRPr="00FA39AC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012C9" w:rsidRPr="00AD3E16" w:rsidRDefault="000652EF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7012C9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7012C9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7012C9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7012C9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652EF" w:rsidRPr="00983526" w:rsidTr="007012C9">
        <w:tc>
          <w:tcPr>
            <w:tcW w:w="709" w:type="dxa"/>
          </w:tcPr>
          <w:p w:rsidR="000652EF" w:rsidRDefault="000652EF" w:rsidP="008B143F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968" w:type="dxa"/>
          </w:tcPr>
          <w:p w:rsidR="000652EF" w:rsidRPr="00AE498C" w:rsidRDefault="000652EF" w:rsidP="008B143F">
            <w:pPr>
              <w:rPr>
                <w:rFonts w:ascii="Times New Roman" w:hAnsi="Times New Roman"/>
                <w:sz w:val="24"/>
              </w:rPr>
            </w:pPr>
            <w:r w:rsidRPr="00FA6CB2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Закупка и установка скамеек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 урн и мусорных контейнеров</w:t>
            </w:r>
          </w:p>
        </w:tc>
        <w:tc>
          <w:tcPr>
            <w:tcW w:w="2128" w:type="dxa"/>
          </w:tcPr>
          <w:p w:rsidR="000652EF" w:rsidRPr="00983526" w:rsidRDefault="000652EF" w:rsidP="008B143F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0652EF" w:rsidRPr="00983526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0652EF" w:rsidRPr="00983526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0652EF" w:rsidRPr="00FA39AC" w:rsidRDefault="000652EF" w:rsidP="008B1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AC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992" w:type="dxa"/>
            <w:vAlign w:val="center"/>
          </w:tcPr>
          <w:p w:rsidR="000652EF" w:rsidRPr="00AD3E16" w:rsidRDefault="000652EF" w:rsidP="008B14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0652EF" w:rsidRPr="008B64DA" w:rsidRDefault="000652EF" w:rsidP="008B143F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  <w:tr w:rsidR="000652EF" w:rsidRPr="00983526" w:rsidTr="007012C9">
        <w:tc>
          <w:tcPr>
            <w:tcW w:w="709" w:type="dxa"/>
          </w:tcPr>
          <w:p w:rsidR="000652EF" w:rsidRPr="004A4A7F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968" w:type="dxa"/>
          </w:tcPr>
          <w:p w:rsidR="000652EF" w:rsidRPr="004A4A7F" w:rsidRDefault="000652EF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2128" w:type="dxa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0652EF" w:rsidRPr="004A4A7F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992" w:type="dxa"/>
            <w:vAlign w:val="center"/>
          </w:tcPr>
          <w:p w:rsidR="000652EF" w:rsidRPr="004A4A7F" w:rsidRDefault="000652EF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1657,17</w:t>
            </w:r>
          </w:p>
        </w:tc>
        <w:tc>
          <w:tcPr>
            <w:tcW w:w="992" w:type="dxa"/>
            <w:vAlign w:val="center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0652EF" w:rsidRPr="004A4A7F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0652EF" w:rsidRPr="00983526" w:rsidTr="007012C9">
        <w:tc>
          <w:tcPr>
            <w:tcW w:w="709" w:type="dxa"/>
            <w:vAlign w:val="center"/>
          </w:tcPr>
          <w:p w:rsidR="000652EF" w:rsidRPr="00CB6AA7" w:rsidRDefault="000652EF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3968" w:type="dxa"/>
          </w:tcPr>
          <w:p w:rsidR="000652EF" w:rsidRPr="00620A1A" w:rsidRDefault="000652EF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наследия 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муниципального) значения</w:t>
            </w:r>
          </w:p>
        </w:tc>
        <w:tc>
          <w:tcPr>
            <w:tcW w:w="2128" w:type="dxa"/>
          </w:tcPr>
          <w:p w:rsidR="000652EF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0652EF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0652EF" w:rsidRPr="00983526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0652EF" w:rsidRPr="00983526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992" w:type="dxa"/>
            <w:vAlign w:val="center"/>
          </w:tcPr>
          <w:p w:rsidR="000652EF" w:rsidRPr="00AD3E16" w:rsidRDefault="000652EF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  <w:tr w:rsidR="000652EF" w:rsidRPr="00983526" w:rsidTr="007012C9">
        <w:tc>
          <w:tcPr>
            <w:tcW w:w="709" w:type="dxa"/>
            <w:vAlign w:val="center"/>
          </w:tcPr>
          <w:p w:rsidR="000652EF" w:rsidRDefault="000652EF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3968" w:type="dxa"/>
          </w:tcPr>
          <w:p w:rsidR="000652EF" w:rsidRPr="00C10F14" w:rsidRDefault="000652EF" w:rsidP="00AD6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</w:tc>
        <w:tc>
          <w:tcPr>
            <w:tcW w:w="2128" w:type="dxa"/>
          </w:tcPr>
          <w:p w:rsidR="000652EF" w:rsidRPr="00983526" w:rsidRDefault="000652EF" w:rsidP="00D663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0652EF" w:rsidRPr="00983526" w:rsidRDefault="000652EF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0652EF" w:rsidRPr="00983526" w:rsidRDefault="000652EF" w:rsidP="00D66343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0652EF" w:rsidRDefault="000652EF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992" w:type="dxa"/>
            <w:vAlign w:val="center"/>
          </w:tcPr>
          <w:p w:rsidR="000652EF" w:rsidRDefault="000652EF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0652EF" w:rsidRPr="008B64DA" w:rsidRDefault="000652EF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819"/>
      </w:tblGrid>
      <w:tr w:rsidR="007F3835" w:rsidRPr="007F3835" w:rsidTr="005A1CFA">
        <w:tc>
          <w:tcPr>
            <w:tcW w:w="10173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4819" w:type="dxa"/>
          </w:tcPr>
          <w:p w:rsidR="007F3835" w:rsidRPr="008A4B99" w:rsidRDefault="007F3835" w:rsidP="005A1CFA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A37271" w:rsidRPr="008A4B99" w:rsidRDefault="0028169C" w:rsidP="0040121D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  <w:r w:rsidR="0040121D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40121D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</w:t>
            </w:r>
            <w:r w:rsidR="007012C9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AD6170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842"/>
        <w:gridCol w:w="1418"/>
        <w:gridCol w:w="2410"/>
        <w:gridCol w:w="708"/>
        <w:gridCol w:w="709"/>
        <w:gridCol w:w="851"/>
        <w:gridCol w:w="850"/>
        <w:gridCol w:w="709"/>
        <w:gridCol w:w="2409"/>
      </w:tblGrid>
      <w:tr w:rsidR="00CD7B3D" w:rsidRPr="007F3835" w:rsidTr="00AD6170">
        <w:trPr>
          <w:trHeight w:val="5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</w:tr>
      <w:tr w:rsidR="00CD7B3D" w:rsidRPr="007F3835" w:rsidTr="00AD6170">
        <w:trPr>
          <w:cantSplit/>
          <w:trHeight w:val="55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7B3D" w:rsidRPr="007F3835" w:rsidTr="00AD6170">
        <w:trPr>
          <w:trHeight w:val="57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7B3D" w:rsidRPr="007F3835" w:rsidTr="00AD6170">
        <w:trPr>
          <w:trHeight w:val="57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CD7B3D" w:rsidRPr="007F3835" w:rsidTr="00AD6170">
        <w:trPr>
          <w:trHeight w:val="211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CD7B3D" w:rsidP="008B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1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CD7B3D" w:rsidRPr="007F3835" w:rsidTr="00AD6170">
        <w:trPr>
          <w:trHeight w:val="2148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8B143F" w:rsidP="0008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8B143F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8B143F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8B143F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166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объектов, обеспеченных газоснабжением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70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Санитарная обрезка деревьев, валка аварийных деревьев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23068A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70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23068A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259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3D" w:rsidRPr="001B2862" w:rsidRDefault="00CD7B3D" w:rsidP="00AD6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CD7B3D" w:rsidRPr="007F3835" w:rsidTr="00AD6170">
        <w:trPr>
          <w:trHeight w:val="27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6)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</w:t>
            </w:r>
          </w:p>
          <w:p w:rsidR="00CD7B3D" w:rsidRPr="001B2862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лестниц и пешеходных зон</w:t>
            </w:r>
          </w:p>
          <w:p w:rsidR="00CD7B3D" w:rsidRPr="001B2862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B17B1C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CD7B3D" w:rsidP="00AD6170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0B2" w:rsidRDefault="00E030B2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CD7B3D" w:rsidRPr="007F3835" w:rsidTr="00AD6170">
        <w:trPr>
          <w:trHeight w:val="139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скамеек,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урн и мусорных контейнеров,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8A3C93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29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мероприятий с оформлением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6B46F6">
        <w:trPr>
          <w:trHeight w:val="7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наследия местного (муниципального) значения (Приложение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8B143F" w:rsidRDefault="008B143F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6F6" w:rsidRPr="007F3835" w:rsidTr="00AD6170">
        <w:trPr>
          <w:trHeight w:val="7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6B46F6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6B46F6" w:rsidP="00AD6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 (Приложение №8)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526B3B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526B3B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526B3B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обустроенных площадок для выгула домашних животных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526B3B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Default="00CF768E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1508E9" w:rsidRDefault="001508E9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0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1508E9" w:rsidRDefault="001508E9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0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1508E9" w:rsidRDefault="001508E9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0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6" w:rsidRPr="007F3835" w:rsidRDefault="006B46F6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подпрограмме.»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**Количество территорий, на которых и содержание и озеленение, учитывается в обоих показателях.</w:t>
      </w:r>
    </w:p>
    <w:p w:rsidR="007F3835" w:rsidRPr="007F3835" w:rsidRDefault="007F3835" w:rsidP="007F3835"/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F3835" w:rsidRPr="007F3835" w:rsidTr="008A4B99">
        <w:tc>
          <w:tcPr>
            <w:tcW w:w="5495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7F3835" w:rsidRPr="007F3835" w:rsidRDefault="0028169C" w:rsidP="00F878A8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от 16.10.2020 №1093</w:t>
            </w:r>
          </w:p>
        </w:tc>
      </w:tr>
    </w:tbl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объектов, видовых площадок, скверов, памятных мест, 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прогулочных зон Находкинского городского округа, подлежащих текущему содержанию и озеленению  на 2021 г. -2024 г.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7F3835" w:rsidRPr="007F3835" w:rsidTr="00BF5629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 кв.</w:t>
            </w:r>
          </w:p>
        </w:tc>
      </w:tr>
      <w:tr w:rsidR="007F3835" w:rsidRPr="007F3835" w:rsidTr="00BF5629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7F3835" w:rsidRPr="007F3835" w:rsidTr="00BF562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28169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22211</w:t>
            </w:r>
          </w:p>
        </w:tc>
      </w:tr>
      <w:tr w:rsidR="007F3835" w:rsidRPr="007F3835" w:rsidTr="00BF5629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 памятника погибшим партизанам  в 1918 - 1922 г.г.,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7F3835" w:rsidRPr="007F3835" w:rsidTr="00BF5629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7F3835" w:rsidRPr="007F3835" w:rsidTr="00BF5629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Дзержинского в районе муниципального Дома  молодежи, 40 м на северо-запад от здания по ул. Дзержинского,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31694</w:t>
            </w:r>
          </w:p>
        </w:tc>
      </w:tr>
      <w:tr w:rsidR="007F3835" w:rsidRPr="007F3835" w:rsidTr="0028169C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Малиновского,2а-2, 18 м на восток от жилого дома по ул.Малиновского,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7F3835" w:rsidRPr="007F3835" w:rsidTr="00BF5629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 Мира  до Низменного переулка, 35 ),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7F3835" w:rsidRPr="007F3835" w:rsidTr="00BF5629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 бульвар, 22 м на юго-восток от здания ТЦ по Озерному б-ру,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</w:tr>
      <w:tr w:rsidR="007F3835" w:rsidRPr="007F3835" w:rsidTr="0028169C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пр.,14 - Школьная,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</w:tr>
      <w:tr w:rsidR="007F3835" w:rsidRPr="007F3835" w:rsidTr="00BF5629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</w:t>
            </w:r>
          </w:p>
        </w:tc>
      </w:tr>
      <w:tr w:rsidR="007F3835" w:rsidRPr="007F3835" w:rsidTr="0028169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ул.Ленинская,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7F3835" w:rsidRPr="007F3835" w:rsidTr="00BF562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Владивостокская,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7F3835" w:rsidRPr="007F3835" w:rsidTr="0028169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7F3835" w:rsidRPr="007F3835" w:rsidTr="00BF562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жилого дома по Находкинскому 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7F3835" w:rsidRPr="007F3835" w:rsidTr="00D96402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ЗАГСу,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F3835" w:rsidRPr="007F3835" w:rsidTr="00D96402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482207</w:t>
            </w:r>
          </w:p>
        </w:tc>
      </w:tr>
      <w:tr w:rsidR="007F3835" w:rsidRPr="007F3835" w:rsidTr="00BF562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7F3835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7F3835" w:rsidRPr="007F3835" w:rsidTr="00867E5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Спортивная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</w:t>
            </w:r>
          </w:p>
        </w:tc>
      </w:tr>
      <w:tr w:rsidR="007F3835" w:rsidRPr="007F3835" w:rsidTr="00867E5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7F3835" w:rsidRPr="007F3835" w:rsidTr="00BF5629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кольцо/, расположенный по ул. Пирогова в районе а/остановки "стадион "Приморец"/, 160 м на запад от жилого дома по ул. Пирогова,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</w:p>
        </w:tc>
      </w:tr>
      <w:tr w:rsidR="007F3835" w:rsidRPr="007F3835" w:rsidTr="00BF5629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7F3835" w:rsidRPr="007F3835" w:rsidTr="00BF5629">
        <w:trPr>
          <w:trHeight w:val="1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кольцо/, расположенный по ул. Перевальная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7F3835" w:rsidRPr="007F3835" w:rsidTr="00BF5629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 /разворотное кольцо/, расположенный по Находкинскому пр. в районе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7F3835" w:rsidRPr="007F3835" w:rsidTr="00D96402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7F3835" w:rsidRPr="007F3835" w:rsidTr="00BF5629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 районе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</w:tr>
      <w:tr w:rsidR="007F3835" w:rsidRPr="007F3835" w:rsidTr="00BF5629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</w:tr>
      <w:tr w:rsidR="007F3835" w:rsidRPr="007F3835" w:rsidTr="00BF562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7F3835" w:rsidRPr="007F3835" w:rsidTr="00BF562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</w:tr>
      <w:tr w:rsidR="007F3835" w:rsidRPr="007F3835" w:rsidTr="00BF562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7F3835" w:rsidRPr="007F3835" w:rsidTr="00BF562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Прилегающая территория у Памятника Победы в Великой Отечественной войне 1941 - 1945 г.г.,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</w:t>
            </w:r>
          </w:p>
        </w:tc>
      </w:tr>
      <w:tr w:rsidR="007F3835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</w:tr>
      <w:tr w:rsidR="007F3835" w:rsidRPr="007F3835" w:rsidTr="00BF562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от центральной площади до поворота на мыс Шефнера, 125 м на северо-восток от здания по ул. Портовая,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0652EF" w:rsidRPr="007F3835" w:rsidTr="006707A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5128F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 Центральной площади, 27 м на северо-восток от здания  по ул. Портовая,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5128F1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</w:t>
            </w:r>
          </w:p>
        </w:tc>
      </w:tr>
      <w:tr w:rsidR="007F3835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 ул. Гагарина, 13 - ул. Гагарина, 15, 12 м на юго- запад от жилого дома по ул. Гагарина,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7F3835" w:rsidRPr="007F3835" w:rsidTr="00BF562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2,5 м на северо-запад от здания по ул. Озерный,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7F3835" w:rsidRPr="007F3835" w:rsidTr="00BF5629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</w:tr>
      <w:tr w:rsidR="007F3835" w:rsidRPr="007F3835" w:rsidTr="00BF5629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мемориала жителям села Ливадия, павшим в годы Великой отечественной войны 1941 - 1945 г.г., 15 м на юго-запад от здания по ул. Заречная, 2а, п. Ливадия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7F3835" w:rsidRPr="007F3835" w:rsidTr="00BF562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"Радуга", 20 м на север от жилого дома по  ул. Победы, 2,  п. Южно-Морской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7F3835" w:rsidRPr="007F3835" w:rsidTr="00BF5629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автовокзала, 20 м на северо-запад от жилого дома по ул. Пограничная, 5а, п. Южно-Морской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7F3835" w:rsidRPr="007F3835" w:rsidTr="00BF5629">
        <w:trPr>
          <w:trHeight w:val="10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монумента жителям села Анна, павшим в сражениях Великой Отечественной войны 1941 - 1945 г.г.,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</w:tr>
      <w:tr w:rsidR="007F3835" w:rsidRPr="007F3835" w:rsidTr="00BF5629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Восточный проспект, 9, 12 м на восток от жилого дома по Восточному пр.,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7F3835" w:rsidRPr="007F3835" w:rsidTr="00BF5629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Восточный пр., 11 - 17, 19 м на юго-восток от жилого дома по Восточному пр.,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7F3835" w:rsidRPr="007F3835" w:rsidTr="00BF5629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"Каскад"  Восточный пр., 33, 10 м на юг от жилого дома по Восточному пр.,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0865C0" w:rsidRPr="007F3835" w:rsidTr="000865C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642343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мемориала жителям поселка Врангель, павшим в сражениях Великой Отечественной войны 1941 - 1945 г.г.,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4607,7</w:t>
            </w:r>
          </w:p>
        </w:tc>
      </w:tr>
      <w:tr w:rsidR="000865C0" w:rsidRPr="007F3835" w:rsidTr="00D96402">
        <w:trPr>
          <w:trHeight w:val="4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 Находка, пляж Волна, 450 м на юго-восток от санатория по ул.Шоссейной,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0865C0" w:rsidRPr="007F3835" w:rsidTr="000865C0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0865C0" w:rsidRPr="007F3835" w:rsidTr="00D96402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0865C0" w:rsidRPr="007F3835" w:rsidTr="00D96402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ул.Свердлова, 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ул.Верхне-Морская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0865C0" w:rsidRPr="007F3835" w:rsidTr="002B1715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Постышева-Дзержинского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Постышева-Дзержинского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0865C0" w:rsidRPr="007F3835" w:rsidTr="002B1715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пл.Совершеннолетия-Портовая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Лермонтова-Парковая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0865C0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C0" w:rsidRPr="007F3835" w:rsidRDefault="000865C0" w:rsidP="000865C0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Находка-Майдзуру»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867E59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21372,2</w:t>
            </w:r>
          </w:p>
        </w:tc>
      </w:tr>
      <w:tr w:rsidR="00867E59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59" w:rsidRPr="007F3835" w:rsidRDefault="000652EF" w:rsidP="00867E5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бульвара Энтузиастов МЖК в г.Находка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левого берега р. Каменка /Находкинский пр. от угла здания  ул. Озерный № 12 до моста ул. Постышева/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правого берега р. Каменка /прогулочная зона от здания ул. Малиновского, 32 до пер. Низменный/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в сквере ул. Спортивная, 16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 в сквере ост. «Р/порт» Находкинский пр. 66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Вазоны из искусственного камня /0,9м2 х 46шт./+29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на подпорной стенке в районе а/остановки «Ленинская»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«Композиция» 1,81 м *5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кустарника «живая изгородь» от КПП до а/остановки «Тихоокеанская»/; м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сирени; дерена  (в районе ул. Малиновского, 1а-4а; в районе ул. Озерная, 12) шт./м кв.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кедра; м кв.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0652EF" w:rsidRPr="007F3835" w:rsidTr="000865C0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Владивостокская, 14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Цветники  в мкр. п Врангель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(однолетние и многолетние)</w:t>
            </w: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кустарник (живая изгородь)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одиночные 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652EF" w:rsidRPr="00334397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</w:t>
            </w: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0652EF" w:rsidRPr="00334397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в мкр. Ливадия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-декоративный кустарник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D66343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</w:tr>
      <w:tr w:rsidR="000652EF" w:rsidRPr="007F3835" w:rsidTr="003755C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м2;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вазоны стеклопластиковые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/0,716 м2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шт./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0652EF" w:rsidRPr="007F3835" w:rsidTr="00BF5629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ж/бетонные вазоны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0,8м2/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652EF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районе гостиницы «Юань Дунь»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«Балкия»/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0652EF" w:rsidRPr="007F3835" w:rsidTr="003755C8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«Змейка», расположенный вдоль пр. Мира в районе ж/домов № 30 – 32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50/417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цветники «мостик» /1,3 м х 0,3м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652EF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Альпинарий на   Озерном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бульваре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100/135</w:t>
            </w:r>
          </w:p>
        </w:tc>
      </w:tr>
      <w:tr w:rsidR="000652EF" w:rsidRPr="007F3835" w:rsidTr="002B171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Ж/бетонные вазоны, расположенные в районе стадиона «Водник» /18шт.*1,1м2/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Цветник, расположенный в районе перекрестка «Северный проспект  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Перевальная»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(вейгела)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 «Бабочка» /0,2м2 х 16 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Перевальная – ул. Шевченко – Находкинский пр. /в районе МБОУ СШ № 7 по ул. Шевченко, 1/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посадки можжевельника, форзиции,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подлежащие  уборке,  после проведения общегородских праздничных мероприятий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площадь МЦК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стадион «Водник»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0652EF" w:rsidRPr="007F3835" w:rsidTr="002B1715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ул.Луначарского,1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0652EF" w:rsidRPr="007F3835" w:rsidTr="002B171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«Змейка» откос вдоль Находкинского пр.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(р-он Заводская)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0652EF" w:rsidRPr="007F3835" w:rsidTr="00BF5629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летники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вейгела, сирень, луизиания)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40/2004</w:t>
            </w:r>
          </w:p>
        </w:tc>
      </w:tr>
      <w:tr w:rsidR="000652EF" w:rsidRPr="007F3835" w:rsidTr="00D66343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0652EF" w:rsidRPr="007F3835" w:rsidTr="002B171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на откосе  /вдоль Находкинского пр. от магазина» Синтез» до магазина «Цветы»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0652EF" w:rsidRPr="007F3835" w:rsidTr="000865C0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16180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Откос вдоль Находкинского пр. /со стороны ж/д вокзала «ст. Тихоокеанская»/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0652EF" w:rsidRPr="007F3835" w:rsidTr="00BF562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 в районе а/вокзала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Рабатки на Находкинском пр-те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«Орден» и «Фейерверк» в р-не КПП на пл.Совершеннолетия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652EF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по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0652EF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по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сквер 356 м на юго-восток от здания по адресу: г.Находка, мкр.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5368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5368,5</w:t>
            </w:r>
          </w:p>
        </w:tc>
      </w:tr>
      <w:tr w:rsidR="000652EF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2EF" w:rsidRPr="005128F1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дома №15 по ул.Арсеньева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5128F1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2EF" w:rsidRPr="007F3835" w:rsidRDefault="000652EF" w:rsidP="000652EF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</w:tr>
    </w:tbl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</w:p>
    <w:p w:rsidR="007F3835" w:rsidRPr="007F3835" w:rsidRDefault="007F3835" w:rsidP="00BF5629">
      <w:pPr>
        <w:tabs>
          <w:tab w:val="left" w:pos="10348"/>
        </w:tabs>
        <w:suppressAutoHyphens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Pr="008A4B99" w:rsidRDefault="00867E59" w:rsidP="00065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7F3835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A37271" w:rsidRPr="008A4B99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8A4B99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F878A8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</w:t>
            </w:r>
            <w:r w:rsidR="00214CE5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1B7488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(предварительный)</w:t>
      </w:r>
    </w:p>
    <w:p w:rsidR="007F3835" w:rsidRPr="001B7488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лестниц и пешеходных зон, расположенных на территории общего пользования Находкинского городского округа, подлежащих ремонту и реконструкции</w:t>
      </w: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7F3835" w:rsidRPr="007F3835" w:rsidTr="00214CE5">
        <w:tc>
          <w:tcPr>
            <w:tcW w:w="773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14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0E0069">
              <w:rPr>
                <w:rFonts w:ascii="Times New Roman" w:hAnsi="Times New Roman" w:cs="Times New Roman"/>
              </w:rPr>
              <w:t>Лестница по ул.Арсеньева от д.8 к д.9,10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0E0069">
              <w:rPr>
                <w:rFonts w:ascii="Times New Roman" w:hAnsi="Times New Roman" w:cs="Times New Roman"/>
              </w:rPr>
              <w:t>п.Южно-Морской ул.Комсомольская от д.6 к д.6а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0E0069">
              <w:rPr>
                <w:rFonts w:ascii="Times New Roman" w:hAnsi="Times New Roman" w:cs="Times New Roman"/>
              </w:rPr>
              <w:t>п.Южно-Морской от ул.Победы д.2 к ул.Комсомольской д.7а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0E0069">
              <w:rPr>
                <w:rFonts w:ascii="Times New Roman" w:hAnsi="Times New Roman" w:cs="Times New Roman"/>
              </w:rPr>
              <w:t>п.Южно-Морской от ул.Победы, от д.2 к д.3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0E006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0E006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B17B1C" w:rsidRPr="005779F2" w:rsidTr="00214CE5">
        <w:tc>
          <w:tcPr>
            <w:tcW w:w="773" w:type="dxa"/>
            <w:vAlign w:val="center"/>
          </w:tcPr>
          <w:p w:rsidR="00B17B1C" w:rsidRPr="00214CE5" w:rsidRDefault="00B17B1C" w:rsidP="00D6634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B17B1C" w:rsidRPr="000E0069" w:rsidRDefault="003755C8" w:rsidP="00AD617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Пешеходная зона в районе ул.Молодежная, 7</w:t>
            </w:r>
          </w:p>
        </w:tc>
        <w:tc>
          <w:tcPr>
            <w:tcW w:w="3402" w:type="dxa"/>
            <w:vAlign w:val="center"/>
          </w:tcPr>
          <w:p w:rsidR="00B17B1C" w:rsidRPr="005779F2" w:rsidRDefault="003755C8" w:rsidP="007F3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B17B1C" w:rsidRPr="005779F2" w:rsidTr="00214CE5">
        <w:tc>
          <w:tcPr>
            <w:tcW w:w="773" w:type="dxa"/>
            <w:vAlign w:val="center"/>
          </w:tcPr>
          <w:p w:rsidR="00B17B1C" w:rsidRPr="00214CE5" w:rsidRDefault="00B17B1C" w:rsidP="00D6634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14" w:type="dxa"/>
            <w:vAlign w:val="center"/>
          </w:tcPr>
          <w:p w:rsidR="00B17B1C" w:rsidRPr="00214CE5" w:rsidRDefault="00B17B1C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Лестница по ул.Пограничной, возле домов 24-26, 26-28</w:t>
            </w:r>
          </w:p>
        </w:tc>
        <w:tc>
          <w:tcPr>
            <w:tcW w:w="3402" w:type="dxa"/>
          </w:tcPr>
          <w:p w:rsidR="00B17B1C" w:rsidRPr="00214CE5" w:rsidRDefault="00B17B1C" w:rsidP="007F3835">
            <w:pPr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2022</w:t>
            </w:r>
          </w:p>
        </w:tc>
      </w:tr>
      <w:tr w:rsidR="00B17B1C" w:rsidRPr="007F3835" w:rsidTr="00214CE5">
        <w:tc>
          <w:tcPr>
            <w:tcW w:w="773" w:type="dxa"/>
            <w:vAlign w:val="center"/>
          </w:tcPr>
          <w:p w:rsidR="00B17B1C" w:rsidRPr="00214CE5" w:rsidRDefault="00B17B1C" w:rsidP="00D6634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B17B1C" w:rsidRPr="00214CE5" w:rsidRDefault="00B17B1C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Лестница между зданиями ул.Спортивная,д.1 и ул.Спортивная, д.7 до ул.Ленинградская, д.22</w:t>
            </w:r>
          </w:p>
        </w:tc>
        <w:tc>
          <w:tcPr>
            <w:tcW w:w="3402" w:type="dxa"/>
          </w:tcPr>
          <w:p w:rsidR="00B17B1C" w:rsidRPr="00214CE5" w:rsidRDefault="00B17B1C" w:rsidP="007F3835">
            <w:pPr>
              <w:jc w:val="center"/>
              <w:rPr>
                <w:rFonts w:ascii="Times New Roman" w:hAnsi="Times New Roman" w:cs="Times New Roman"/>
              </w:rPr>
            </w:pPr>
          </w:p>
          <w:p w:rsidR="00B17B1C" w:rsidRPr="00214CE5" w:rsidRDefault="00B17B1C" w:rsidP="007F3835">
            <w:pPr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2022</w:t>
            </w:r>
          </w:p>
        </w:tc>
      </w:tr>
      <w:tr w:rsidR="00B17B1C" w:rsidRPr="007F3835" w:rsidTr="00214CE5">
        <w:tc>
          <w:tcPr>
            <w:tcW w:w="773" w:type="dxa"/>
            <w:vAlign w:val="center"/>
          </w:tcPr>
          <w:p w:rsidR="00B17B1C" w:rsidRPr="00214CE5" w:rsidRDefault="00B17B1C" w:rsidP="00D6634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B17B1C" w:rsidRPr="00214CE5" w:rsidRDefault="00B17B1C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Лестница и пешеходная зона от Находкинский пр-т, д.116 до ул.Ленинградская</w:t>
            </w:r>
          </w:p>
        </w:tc>
        <w:tc>
          <w:tcPr>
            <w:tcW w:w="3402" w:type="dxa"/>
          </w:tcPr>
          <w:p w:rsidR="00B17B1C" w:rsidRPr="00214CE5" w:rsidRDefault="00B17B1C" w:rsidP="007F3835">
            <w:pPr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2023</w:t>
            </w:r>
          </w:p>
        </w:tc>
      </w:tr>
      <w:tr w:rsidR="00B17B1C" w:rsidRPr="007F3835" w:rsidTr="00214CE5">
        <w:tc>
          <w:tcPr>
            <w:tcW w:w="773" w:type="dxa"/>
            <w:vAlign w:val="center"/>
          </w:tcPr>
          <w:p w:rsidR="00B17B1C" w:rsidRPr="007F3835" w:rsidRDefault="00B17B1C" w:rsidP="00D6634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B17B1C" w:rsidRPr="00214CE5" w:rsidRDefault="00B17B1C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Лестница от автобусной остановки «Детские товары» по ул.Постышева к ул.Дзержинского, д.13</w:t>
            </w:r>
          </w:p>
        </w:tc>
        <w:tc>
          <w:tcPr>
            <w:tcW w:w="3402" w:type="dxa"/>
          </w:tcPr>
          <w:p w:rsidR="00B17B1C" w:rsidRPr="00214CE5" w:rsidRDefault="00B17B1C" w:rsidP="007F3835">
            <w:pPr>
              <w:jc w:val="center"/>
              <w:rPr>
                <w:rFonts w:ascii="Times New Roman" w:hAnsi="Times New Roman" w:cs="Times New Roman"/>
              </w:rPr>
            </w:pPr>
          </w:p>
          <w:p w:rsidR="00B17B1C" w:rsidRPr="00214CE5" w:rsidRDefault="00B17B1C" w:rsidP="007F3835">
            <w:pPr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2024</w:t>
            </w:r>
          </w:p>
        </w:tc>
      </w:tr>
      <w:tr w:rsidR="00B17B1C" w:rsidRPr="007F3835" w:rsidTr="00214CE5">
        <w:tc>
          <w:tcPr>
            <w:tcW w:w="773" w:type="dxa"/>
            <w:vAlign w:val="center"/>
          </w:tcPr>
          <w:p w:rsidR="00B17B1C" w:rsidRPr="007F3835" w:rsidRDefault="00B17B1C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4" w:type="dxa"/>
            <w:vAlign w:val="center"/>
          </w:tcPr>
          <w:p w:rsidR="00B17B1C" w:rsidRPr="007F3835" w:rsidRDefault="00B17B1C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 xml:space="preserve">Лестница </w:t>
            </w:r>
            <w:r>
              <w:rPr>
                <w:rFonts w:ascii="Times New Roman" w:hAnsi="Times New Roman" w:cs="Times New Roman"/>
              </w:rPr>
              <w:t>от автобусной остановки «Детские товары» по ул.Постышева к ул.Врубеля</w:t>
            </w:r>
          </w:p>
        </w:tc>
        <w:tc>
          <w:tcPr>
            <w:tcW w:w="3402" w:type="dxa"/>
          </w:tcPr>
          <w:p w:rsidR="00B17B1C" w:rsidRPr="007F3835" w:rsidRDefault="00B17B1C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2024</w:t>
            </w:r>
          </w:p>
        </w:tc>
      </w:tr>
    </w:tbl>
    <w:p w:rsidR="007F3835" w:rsidRPr="007F3835" w:rsidRDefault="007F3835" w:rsidP="007F3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2EF" w:rsidRPr="007F3835" w:rsidRDefault="007F3835" w:rsidP="007F3835">
      <w:r w:rsidRPr="007F3835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652EF" w:rsidTr="005A1CFA">
        <w:tc>
          <w:tcPr>
            <w:tcW w:w="4644" w:type="dxa"/>
          </w:tcPr>
          <w:p w:rsidR="000652EF" w:rsidRDefault="000652EF" w:rsidP="008B14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103" w:type="dxa"/>
          </w:tcPr>
          <w:p w:rsidR="000652EF" w:rsidRPr="004E5351" w:rsidRDefault="000652EF" w:rsidP="008A4B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№ 7</w:t>
            </w:r>
          </w:p>
          <w:p w:rsidR="005A1CFA" w:rsidRPr="008A4B99" w:rsidRDefault="000652EF" w:rsidP="005A1CFA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</w:t>
            </w:r>
            <w:r w:rsidR="005A1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муниципальной п</w:t>
            </w:r>
            <w:r w:rsidRPr="004E5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рограмме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территории Находкинского городского округа»</w:t>
            </w:r>
            <w:r w:rsidR="005A1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0652EF" w:rsidRPr="004E5351" w:rsidRDefault="005A1CFA" w:rsidP="005A1CF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 1093</w:t>
            </w:r>
          </w:p>
        </w:tc>
      </w:tr>
    </w:tbl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3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2688"/>
        <w:gridCol w:w="2093"/>
      </w:tblGrid>
      <w:tr w:rsidR="000652EF" w:rsidRPr="007B689A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объект культурного наследия </w:t>
            </w:r>
            <w:r w:rsidRPr="004E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(муниципального) значения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привязка</w:t>
            </w:r>
          </w:p>
        </w:tc>
        <w:tc>
          <w:tcPr>
            <w:tcW w:w="209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652EF" w:rsidRPr="007B689A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2EF" w:rsidRPr="007B689A" w:rsidTr="008B143F">
        <w:trPr>
          <w:trHeight w:val="1127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жителям </w:t>
            </w:r>
          </w:p>
          <w:p w:rsidR="000652EF" w:rsidRPr="004E3857" w:rsidRDefault="000652EF" w:rsidP="008B143F">
            <w:pPr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E3857">
              <w:rPr>
                <w:rFonts w:ascii="Times New Roman" w:hAnsi="Times New Roman" w:cs="Times New Roman"/>
                <w:sz w:val="24"/>
                <w:szCs w:val="24"/>
              </w:rPr>
              <w:t>села Душкино,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FF24FC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г. Находка, с. Душкино, в районе ул. Беляева, д.1</w:t>
            </w:r>
          </w:p>
        </w:tc>
        <w:tc>
          <w:tcPr>
            <w:tcW w:w="2093" w:type="dxa"/>
          </w:tcPr>
          <w:p w:rsidR="000652EF" w:rsidRPr="00FF24FC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52EF" w:rsidRPr="007B689A" w:rsidTr="005A1CFA">
        <w:trPr>
          <w:trHeight w:val="1201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2688" w:type="dxa"/>
          </w:tcPr>
          <w:p w:rsidR="000652EF" w:rsidRPr="0052513E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 Центральная площадь, в районе </w:t>
            </w:r>
          </w:p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513E">
              <w:rPr>
                <w:rFonts w:ascii="Times New Roman" w:hAnsi="Times New Roman" w:cs="Times New Roman"/>
                <w:sz w:val="24"/>
                <w:szCs w:val="24"/>
              </w:rPr>
              <w:t>пр. Находкинский, д. 16</w:t>
            </w:r>
          </w:p>
        </w:tc>
        <w:tc>
          <w:tcPr>
            <w:tcW w:w="2093" w:type="dxa"/>
          </w:tcPr>
          <w:p w:rsidR="000652EF" w:rsidRPr="00FF24FC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52EF" w:rsidRPr="007B689A" w:rsidTr="005A1CFA">
        <w:trPr>
          <w:trHeight w:val="487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Захоронение Е.Н. Порошина, Героя Моравии и Словакии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г. Находка, старое городское кладбище</w:t>
            </w:r>
          </w:p>
        </w:tc>
        <w:tc>
          <w:tcPr>
            <w:tcW w:w="2093" w:type="dxa"/>
          </w:tcPr>
          <w:p w:rsidR="000652EF" w:rsidRPr="00351FC3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652EF" w:rsidRPr="003523A9" w:rsidTr="005A1CFA">
        <w:trPr>
          <w:trHeight w:val="1006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Бюст Шалвы Георгиевича Надибаидзе, возглавлявшего рыбную промышленность на Дальнем Востоке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г. Находка, п. Южно-Морской, в районе ул. Центральная д.4</w:t>
            </w:r>
          </w:p>
        </w:tc>
        <w:tc>
          <w:tcPr>
            <w:tcW w:w="2093" w:type="dxa"/>
          </w:tcPr>
          <w:p w:rsidR="000652EF" w:rsidRPr="00932586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Памятник воинам  – землякам, погибшим в годы Великой Отечественной войны (1941-1945 гг.)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 Южно-Морской, ул. Победы, в зеленой зоне у средней школы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по ул. Комсомольская, 2А.</w:t>
            </w:r>
          </w:p>
        </w:tc>
        <w:tc>
          <w:tcPr>
            <w:tcW w:w="2093" w:type="dxa"/>
          </w:tcPr>
          <w:p w:rsidR="000652EF" w:rsidRPr="00932586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52EF" w:rsidRPr="003523A9" w:rsidTr="005A1CFA">
        <w:trPr>
          <w:trHeight w:val="780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Монумент жителям села Анна,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932586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бухта Анна, в районе </w:t>
            </w:r>
          </w:p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586">
              <w:rPr>
                <w:rFonts w:ascii="Times New Roman" w:hAnsi="Times New Roman" w:cs="Times New Roman"/>
                <w:sz w:val="24"/>
                <w:szCs w:val="24"/>
              </w:rPr>
              <w:t>ул. Набережная,3а</w:t>
            </w:r>
          </w:p>
        </w:tc>
        <w:tc>
          <w:tcPr>
            <w:tcW w:w="2093" w:type="dxa"/>
          </w:tcPr>
          <w:p w:rsidR="000652EF" w:rsidRPr="00932586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52EF" w:rsidRPr="003523A9" w:rsidTr="005A1CFA">
        <w:trPr>
          <w:trHeight w:val="792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Средняя,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24FC">
              <w:rPr>
                <w:rFonts w:ascii="Times New Roman" w:hAnsi="Times New Roman" w:cs="Times New Roman"/>
                <w:sz w:val="24"/>
                <w:szCs w:val="24"/>
              </w:rPr>
              <w:t>г. Находка, п. Средняя, в районе ул. Колхозная д.14</w:t>
            </w:r>
          </w:p>
        </w:tc>
        <w:tc>
          <w:tcPr>
            <w:tcW w:w="2093" w:type="dxa"/>
          </w:tcPr>
          <w:p w:rsidR="000652EF" w:rsidRPr="0052513E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52EF" w:rsidRPr="003523A9" w:rsidTr="005A1CFA">
        <w:trPr>
          <w:trHeight w:val="804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254A">
              <w:rPr>
                <w:rFonts w:ascii="Times New Roman" w:hAnsi="Times New Roman" w:cs="Times New Roman"/>
                <w:sz w:val="24"/>
                <w:szCs w:val="24"/>
              </w:rPr>
              <w:t>г. Находка, территория СОШ № 14, пр. Мира, 24 Б.</w:t>
            </w:r>
          </w:p>
        </w:tc>
        <w:tc>
          <w:tcPr>
            <w:tcW w:w="2093" w:type="dxa"/>
          </w:tcPr>
          <w:p w:rsidR="000652EF" w:rsidRPr="0067254A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652EF" w:rsidRPr="003523A9" w:rsidTr="008B143F">
        <w:trPr>
          <w:trHeight w:val="1009"/>
        </w:trPr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Ливадия,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3">
              <w:rPr>
                <w:rFonts w:ascii="Times New Roman" w:hAnsi="Times New Roman" w:cs="Times New Roman"/>
                <w:sz w:val="24"/>
                <w:szCs w:val="24"/>
              </w:rPr>
              <w:t>г. Находка, п. Ливадия, площадь у здания Дома  культуры.</w:t>
            </w:r>
          </w:p>
        </w:tc>
        <w:tc>
          <w:tcPr>
            <w:tcW w:w="2093" w:type="dxa"/>
          </w:tcPr>
          <w:p w:rsidR="000652EF" w:rsidRPr="0067254A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2" w:type="dxa"/>
          </w:tcPr>
          <w:p w:rsidR="000652EF" w:rsidRPr="0067254A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0652EF" w:rsidRPr="0067254A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0652EF" w:rsidRPr="0067254A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Козьмино,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C57BE5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п. Врангель, в районе  </w:t>
            </w:r>
          </w:p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ул. Первостроителей д.3</w:t>
            </w:r>
          </w:p>
        </w:tc>
        <w:tc>
          <w:tcPr>
            <w:tcW w:w="2093" w:type="dxa"/>
          </w:tcPr>
          <w:p w:rsidR="000652EF" w:rsidRPr="00C57BE5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0652EF" w:rsidRPr="00C57BE5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п. Врангель, в районе пр. Восточный, д. 17</w:t>
            </w:r>
          </w:p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652EF" w:rsidRPr="00C57BE5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Скульптура Женщина с птицей «Мир», установленная в честь 30-летия породнения городов Находка и Майдзуру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г. Находка, ул. Владивостокская, у дома № 6</w:t>
            </w:r>
          </w:p>
        </w:tc>
        <w:tc>
          <w:tcPr>
            <w:tcW w:w="2093" w:type="dxa"/>
          </w:tcPr>
          <w:p w:rsidR="000652EF" w:rsidRPr="00C57BE5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652EF" w:rsidRPr="003523A9" w:rsidTr="008B143F">
        <w:tc>
          <w:tcPr>
            <w:tcW w:w="663" w:type="dxa"/>
          </w:tcPr>
          <w:p w:rsidR="000652EF" w:rsidRPr="004E3857" w:rsidRDefault="000652EF" w:rsidP="008B143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2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Памятник героическому труду рабочих рыбокомбината «Тафуин» в годы Великой Отечественной войны</w:t>
            </w:r>
          </w:p>
        </w:tc>
        <w:tc>
          <w:tcPr>
            <w:tcW w:w="2688" w:type="dxa"/>
          </w:tcPr>
          <w:p w:rsidR="000652EF" w:rsidRPr="004E3857" w:rsidRDefault="000652EF" w:rsidP="008B143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BE5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 Южно-Морской, на территории базы ЗАО «Южморрыбфлот», в районе дома по ул. Заводская, 18</w:t>
            </w:r>
          </w:p>
        </w:tc>
        <w:tc>
          <w:tcPr>
            <w:tcW w:w="2093" w:type="dxa"/>
          </w:tcPr>
          <w:p w:rsidR="000652EF" w:rsidRPr="00C57BE5" w:rsidRDefault="000652EF" w:rsidP="008B143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35" w:rsidRPr="007F3835" w:rsidRDefault="007F3835" w:rsidP="007F3835"/>
    <w:p w:rsidR="000652EF" w:rsidRDefault="000652EF">
      <w:r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E030B2" w:rsidRPr="007F3835" w:rsidTr="00D66343">
        <w:tc>
          <w:tcPr>
            <w:tcW w:w="5211" w:type="dxa"/>
          </w:tcPr>
          <w:p w:rsidR="00E030B2" w:rsidRPr="007F3835" w:rsidRDefault="00E030B2" w:rsidP="00D66343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E030B2" w:rsidRPr="008A4B99" w:rsidRDefault="00E030B2" w:rsidP="00D66343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E030B2" w:rsidRPr="008A4B99" w:rsidRDefault="00E030B2" w:rsidP="00D6634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E030B2" w:rsidRPr="007F3835" w:rsidRDefault="00E030B2" w:rsidP="00D66343">
            <w:pPr>
              <w:suppressAutoHyphens/>
              <w:jc w:val="center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16.10.2020 №1093</w:t>
            </w:r>
          </w:p>
        </w:tc>
      </w:tr>
    </w:tbl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территорий, предназначенных для размещения площадок </w:t>
      </w: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выгула домашних животных</w:t>
      </w:r>
    </w:p>
    <w:p w:rsidR="00E030B2" w:rsidRPr="007F3835" w:rsidRDefault="00E030B2" w:rsidP="00E03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6850"/>
        <w:gridCol w:w="2093"/>
      </w:tblGrid>
      <w:tr w:rsidR="00E207D4" w:rsidRPr="007F3835" w:rsidTr="00D66343">
        <w:tc>
          <w:tcPr>
            <w:tcW w:w="663" w:type="dxa"/>
          </w:tcPr>
          <w:p w:rsidR="00E207D4" w:rsidRPr="00E207D4" w:rsidRDefault="00E207D4" w:rsidP="00D663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0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Адресная привязка территории, предназначенной для размещения площадок для выгула домашних территорий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E207D4" w:rsidRPr="007F3835" w:rsidTr="00E207D4">
        <w:trPr>
          <w:trHeight w:val="707"/>
        </w:trPr>
        <w:tc>
          <w:tcPr>
            <w:tcW w:w="663" w:type="dxa"/>
          </w:tcPr>
          <w:p w:rsidR="00E207D4" w:rsidRPr="00E207D4" w:rsidRDefault="00E207D4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E207D4" w:rsidRPr="00E207D4" w:rsidRDefault="00E207D4" w:rsidP="00E207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42 м на юг от жилого дома по пр-т Мира, 32, общей площадью 1 678 кв.м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207D4" w:rsidRPr="007F3835" w:rsidTr="00E207D4">
        <w:trPr>
          <w:trHeight w:val="688"/>
        </w:trPr>
        <w:tc>
          <w:tcPr>
            <w:tcW w:w="663" w:type="dxa"/>
          </w:tcPr>
          <w:p w:rsidR="00E207D4" w:rsidRPr="00E207D4" w:rsidRDefault="00E207D4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E207D4" w:rsidRPr="00E207D4" w:rsidRDefault="00E207D4" w:rsidP="00E207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85 м на юг от здания по ул. Ленинская, 22, общей площадью 3 402 кв.м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207D4" w:rsidRPr="007F3835" w:rsidTr="00E207D4">
        <w:trPr>
          <w:trHeight w:val="712"/>
        </w:trPr>
        <w:tc>
          <w:tcPr>
            <w:tcW w:w="663" w:type="dxa"/>
          </w:tcPr>
          <w:p w:rsidR="00E207D4" w:rsidRPr="00E207D4" w:rsidRDefault="00E207D4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E207D4" w:rsidRPr="00E207D4" w:rsidRDefault="00E207D4" w:rsidP="009C39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63 м на запад от жилого дома по ул. Бо</w:t>
            </w:r>
            <w:r w:rsidR="009C39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ситогорская, 26, общей площадью 732 кв.м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07D4" w:rsidRPr="007F3835" w:rsidTr="00E207D4">
        <w:trPr>
          <w:trHeight w:val="695"/>
        </w:trPr>
        <w:tc>
          <w:tcPr>
            <w:tcW w:w="663" w:type="dxa"/>
          </w:tcPr>
          <w:p w:rsidR="00E207D4" w:rsidRPr="00E207D4" w:rsidRDefault="00E207D4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E207D4" w:rsidRPr="00E207D4" w:rsidRDefault="00E207D4" w:rsidP="009C391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75 м на северо-запад от жилого дома по ул. Бо</w:t>
            </w:r>
            <w:r w:rsidR="009C39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ситогорская, 2а, общей площадью 12 226 кв.м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07D4" w:rsidRPr="007F3835" w:rsidTr="00E207D4">
        <w:trPr>
          <w:trHeight w:val="690"/>
        </w:trPr>
        <w:tc>
          <w:tcPr>
            <w:tcW w:w="663" w:type="dxa"/>
          </w:tcPr>
          <w:p w:rsidR="00E207D4" w:rsidRPr="00E207D4" w:rsidRDefault="00E207D4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0" w:type="dxa"/>
          </w:tcPr>
          <w:p w:rsidR="00E207D4" w:rsidRPr="00E207D4" w:rsidRDefault="00E207D4" w:rsidP="00E207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Приморский край, г. Находка, в 70 м на восток от жилого дома по б-р Приморский, 3, общей площадью 3 804 кв.м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BF5629">
      <w:pPr>
        <w:pStyle w:val="ConsPlusNormal"/>
        <w:framePr w:w="9925" w:wrap="auto" w:hAnchor="text" w:x="1276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  <w:sectPr w:rsidR="001E4F74" w:rsidSect="00BF5629">
          <w:headerReference w:type="default" r:id="rId15"/>
          <w:pgSz w:w="11905" w:h="16838"/>
          <w:pgMar w:top="851" w:right="706" w:bottom="993" w:left="1560" w:header="0" w:footer="0" w:gutter="0"/>
          <w:cols w:space="720"/>
          <w:titlePg/>
          <w:docGrid w:linePitch="299"/>
        </w:sectPr>
      </w:pPr>
    </w:p>
    <w:p w:rsidR="00466E44" w:rsidRPr="003523A9" w:rsidRDefault="00466E44" w:rsidP="00B73AA7">
      <w:pPr>
        <w:autoSpaceDE w:val="0"/>
        <w:autoSpaceDN w:val="0"/>
        <w:adjustRightInd w:val="0"/>
        <w:spacing w:line="240" w:lineRule="auto"/>
        <w:ind w:left="935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sectPr w:rsidR="00466E44" w:rsidRPr="003523A9" w:rsidSect="008F357C">
      <w:headerReference w:type="default" r:id="rId16"/>
      <w:pgSz w:w="16838" w:h="11906" w:orient="landscape"/>
      <w:pgMar w:top="993" w:right="709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3F" w:rsidRDefault="008B143F" w:rsidP="006E7B7D">
      <w:pPr>
        <w:spacing w:after="0" w:line="240" w:lineRule="auto"/>
      </w:pPr>
      <w:r>
        <w:separator/>
      </w:r>
    </w:p>
  </w:endnote>
  <w:endnote w:type="continuationSeparator" w:id="0">
    <w:p w:rsidR="008B143F" w:rsidRDefault="008B143F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3F" w:rsidRDefault="008B143F" w:rsidP="006E7B7D">
      <w:pPr>
        <w:spacing w:after="0" w:line="240" w:lineRule="auto"/>
      </w:pPr>
      <w:r>
        <w:separator/>
      </w:r>
    </w:p>
  </w:footnote>
  <w:footnote w:type="continuationSeparator" w:id="0">
    <w:p w:rsidR="008B143F" w:rsidRDefault="008B143F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EndPr/>
    <w:sdtContent>
      <w:p w:rsidR="008B143F" w:rsidRDefault="008B14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93E">
          <w:rPr>
            <w:noProof/>
          </w:rPr>
          <w:t>21</w:t>
        </w:r>
        <w:r>
          <w:fldChar w:fldCharType="end"/>
        </w:r>
      </w:p>
    </w:sdtContent>
  </w:sdt>
  <w:p w:rsidR="008B143F" w:rsidRDefault="008B14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81943"/>
      <w:docPartObj>
        <w:docPartGallery w:val="Page Numbers (Top of Page)"/>
        <w:docPartUnique/>
      </w:docPartObj>
    </w:sdtPr>
    <w:sdtEndPr/>
    <w:sdtContent>
      <w:p w:rsidR="008B143F" w:rsidRDefault="008B143F">
        <w:pPr>
          <w:pStyle w:val="a4"/>
          <w:jc w:val="center"/>
        </w:pPr>
      </w:p>
      <w:p w:rsidR="008B143F" w:rsidRDefault="008B14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93E">
          <w:rPr>
            <w:noProof/>
          </w:rPr>
          <w:t>31</w:t>
        </w:r>
        <w:r>
          <w:fldChar w:fldCharType="end"/>
        </w:r>
      </w:p>
    </w:sdtContent>
  </w:sdt>
  <w:p w:rsidR="008B143F" w:rsidRDefault="008B14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EndPr/>
    <w:sdtContent>
      <w:p w:rsidR="008B143F" w:rsidRDefault="008B143F">
        <w:pPr>
          <w:pStyle w:val="a4"/>
          <w:jc w:val="center"/>
        </w:pPr>
      </w:p>
      <w:p w:rsidR="008B143F" w:rsidRDefault="008B14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8B143F" w:rsidRDefault="008B14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10273"/>
    <w:rsid w:val="00011C3B"/>
    <w:rsid w:val="000150EF"/>
    <w:rsid w:val="00015AA3"/>
    <w:rsid w:val="00016DF2"/>
    <w:rsid w:val="00017145"/>
    <w:rsid w:val="0001768D"/>
    <w:rsid w:val="00021A15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52EF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2313"/>
    <w:rsid w:val="00082B66"/>
    <w:rsid w:val="00083A7F"/>
    <w:rsid w:val="000865C0"/>
    <w:rsid w:val="00092D37"/>
    <w:rsid w:val="0009394B"/>
    <w:rsid w:val="000942E8"/>
    <w:rsid w:val="00095448"/>
    <w:rsid w:val="000A6A92"/>
    <w:rsid w:val="000A718B"/>
    <w:rsid w:val="000B06CF"/>
    <w:rsid w:val="000B469A"/>
    <w:rsid w:val="000B5161"/>
    <w:rsid w:val="000B5F2E"/>
    <w:rsid w:val="000C57B1"/>
    <w:rsid w:val="000C79E0"/>
    <w:rsid w:val="000D3F4B"/>
    <w:rsid w:val="000D7243"/>
    <w:rsid w:val="000E195C"/>
    <w:rsid w:val="000F4BA4"/>
    <w:rsid w:val="00102361"/>
    <w:rsid w:val="001053E5"/>
    <w:rsid w:val="00107A39"/>
    <w:rsid w:val="00112716"/>
    <w:rsid w:val="0012188B"/>
    <w:rsid w:val="00125499"/>
    <w:rsid w:val="00126B9B"/>
    <w:rsid w:val="001315CB"/>
    <w:rsid w:val="001328F8"/>
    <w:rsid w:val="001370AA"/>
    <w:rsid w:val="001370EC"/>
    <w:rsid w:val="00141E54"/>
    <w:rsid w:val="0014496C"/>
    <w:rsid w:val="001508E9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6A38"/>
    <w:rsid w:val="001B7488"/>
    <w:rsid w:val="001C04C9"/>
    <w:rsid w:val="001C2C4E"/>
    <w:rsid w:val="001C39FD"/>
    <w:rsid w:val="001C3AAC"/>
    <w:rsid w:val="001C6F48"/>
    <w:rsid w:val="001D1040"/>
    <w:rsid w:val="001D1CB2"/>
    <w:rsid w:val="001D257A"/>
    <w:rsid w:val="001D6DC1"/>
    <w:rsid w:val="001E4F74"/>
    <w:rsid w:val="001F2188"/>
    <w:rsid w:val="001F234D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8169C"/>
    <w:rsid w:val="00281FE5"/>
    <w:rsid w:val="00282477"/>
    <w:rsid w:val="00284715"/>
    <w:rsid w:val="00284D09"/>
    <w:rsid w:val="002A1191"/>
    <w:rsid w:val="002A2095"/>
    <w:rsid w:val="002A7F69"/>
    <w:rsid w:val="002B1715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638C"/>
    <w:rsid w:val="002E6633"/>
    <w:rsid w:val="002F0D2B"/>
    <w:rsid w:val="002F0E4C"/>
    <w:rsid w:val="002F28D6"/>
    <w:rsid w:val="002F2D87"/>
    <w:rsid w:val="002F4324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397"/>
    <w:rsid w:val="00334F2E"/>
    <w:rsid w:val="00335126"/>
    <w:rsid w:val="003352CD"/>
    <w:rsid w:val="00335430"/>
    <w:rsid w:val="0033760D"/>
    <w:rsid w:val="003428A4"/>
    <w:rsid w:val="003435ED"/>
    <w:rsid w:val="003507C2"/>
    <w:rsid w:val="00350F0B"/>
    <w:rsid w:val="00351FC3"/>
    <w:rsid w:val="003523A9"/>
    <w:rsid w:val="0035453A"/>
    <w:rsid w:val="003606AF"/>
    <w:rsid w:val="003672E6"/>
    <w:rsid w:val="003700AF"/>
    <w:rsid w:val="00370C0B"/>
    <w:rsid w:val="00373A78"/>
    <w:rsid w:val="003755C8"/>
    <w:rsid w:val="00376246"/>
    <w:rsid w:val="00382767"/>
    <w:rsid w:val="00384C57"/>
    <w:rsid w:val="00390DF8"/>
    <w:rsid w:val="00396590"/>
    <w:rsid w:val="00396634"/>
    <w:rsid w:val="0039757E"/>
    <w:rsid w:val="003A161E"/>
    <w:rsid w:val="003A27C6"/>
    <w:rsid w:val="003A2D81"/>
    <w:rsid w:val="003A337B"/>
    <w:rsid w:val="003A53A3"/>
    <w:rsid w:val="003A78EA"/>
    <w:rsid w:val="003C0CB0"/>
    <w:rsid w:val="003C6793"/>
    <w:rsid w:val="003C7AC9"/>
    <w:rsid w:val="003D1431"/>
    <w:rsid w:val="003D2593"/>
    <w:rsid w:val="003D2609"/>
    <w:rsid w:val="003D625F"/>
    <w:rsid w:val="003D793E"/>
    <w:rsid w:val="003E71A9"/>
    <w:rsid w:val="003F107E"/>
    <w:rsid w:val="003F1857"/>
    <w:rsid w:val="003F2139"/>
    <w:rsid w:val="003F31F5"/>
    <w:rsid w:val="003F616C"/>
    <w:rsid w:val="003F7442"/>
    <w:rsid w:val="0040121D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0C50"/>
    <w:rsid w:val="0044174A"/>
    <w:rsid w:val="00441807"/>
    <w:rsid w:val="004422D6"/>
    <w:rsid w:val="00444FFB"/>
    <w:rsid w:val="004463F5"/>
    <w:rsid w:val="00454709"/>
    <w:rsid w:val="0046258C"/>
    <w:rsid w:val="0046541C"/>
    <w:rsid w:val="00466E44"/>
    <w:rsid w:val="004671BA"/>
    <w:rsid w:val="00467E66"/>
    <w:rsid w:val="00473510"/>
    <w:rsid w:val="004815A8"/>
    <w:rsid w:val="004844F7"/>
    <w:rsid w:val="004849A9"/>
    <w:rsid w:val="00485E8C"/>
    <w:rsid w:val="004913CF"/>
    <w:rsid w:val="004B3AA1"/>
    <w:rsid w:val="004B505E"/>
    <w:rsid w:val="004B6C35"/>
    <w:rsid w:val="004C0A3E"/>
    <w:rsid w:val="004C1A4C"/>
    <w:rsid w:val="004D5F7A"/>
    <w:rsid w:val="004D752C"/>
    <w:rsid w:val="004E033B"/>
    <w:rsid w:val="004E3857"/>
    <w:rsid w:val="004F1489"/>
    <w:rsid w:val="004F2FB9"/>
    <w:rsid w:val="005014F0"/>
    <w:rsid w:val="005100B0"/>
    <w:rsid w:val="005128F1"/>
    <w:rsid w:val="0051311D"/>
    <w:rsid w:val="005162E2"/>
    <w:rsid w:val="005207BE"/>
    <w:rsid w:val="00522859"/>
    <w:rsid w:val="0052513E"/>
    <w:rsid w:val="00526745"/>
    <w:rsid w:val="00526B3B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70BC"/>
    <w:rsid w:val="005604C8"/>
    <w:rsid w:val="005616B5"/>
    <w:rsid w:val="0056307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1CFA"/>
    <w:rsid w:val="005A3C32"/>
    <w:rsid w:val="005A4AE1"/>
    <w:rsid w:val="005A67FB"/>
    <w:rsid w:val="005B6CE8"/>
    <w:rsid w:val="005C1BC2"/>
    <w:rsid w:val="005C3168"/>
    <w:rsid w:val="005D091B"/>
    <w:rsid w:val="005D1875"/>
    <w:rsid w:val="005D47DD"/>
    <w:rsid w:val="005E0F48"/>
    <w:rsid w:val="005E1819"/>
    <w:rsid w:val="005E39DC"/>
    <w:rsid w:val="005E60B4"/>
    <w:rsid w:val="005E7EBF"/>
    <w:rsid w:val="005F116E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275BC"/>
    <w:rsid w:val="00632FDA"/>
    <w:rsid w:val="006334D6"/>
    <w:rsid w:val="006350E5"/>
    <w:rsid w:val="006360B8"/>
    <w:rsid w:val="00637098"/>
    <w:rsid w:val="006407FD"/>
    <w:rsid w:val="00642343"/>
    <w:rsid w:val="006475C4"/>
    <w:rsid w:val="00647E1F"/>
    <w:rsid w:val="006525ED"/>
    <w:rsid w:val="00653D07"/>
    <w:rsid w:val="00654BED"/>
    <w:rsid w:val="0065595C"/>
    <w:rsid w:val="006616BA"/>
    <w:rsid w:val="0066268B"/>
    <w:rsid w:val="006642AE"/>
    <w:rsid w:val="00664E23"/>
    <w:rsid w:val="00665E26"/>
    <w:rsid w:val="006668F1"/>
    <w:rsid w:val="00666F36"/>
    <w:rsid w:val="00670181"/>
    <w:rsid w:val="006707A9"/>
    <w:rsid w:val="0067254A"/>
    <w:rsid w:val="00677166"/>
    <w:rsid w:val="00684519"/>
    <w:rsid w:val="0069088F"/>
    <w:rsid w:val="00695DF4"/>
    <w:rsid w:val="006A216E"/>
    <w:rsid w:val="006A4CBA"/>
    <w:rsid w:val="006A5A8F"/>
    <w:rsid w:val="006B38FE"/>
    <w:rsid w:val="006B46F6"/>
    <w:rsid w:val="006C1C05"/>
    <w:rsid w:val="006D082E"/>
    <w:rsid w:val="006D589A"/>
    <w:rsid w:val="006D5F03"/>
    <w:rsid w:val="006E03F6"/>
    <w:rsid w:val="006E07BD"/>
    <w:rsid w:val="006E23DC"/>
    <w:rsid w:val="006E7B7D"/>
    <w:rsid w:val="006F0BAA"/>
    <w:rsid w:val="006F540D"/>
    <w:rsid w:val="006F62DA"/>
    <w:rsid w:val="006F7EE0"/>
    <w:rsid w:val="007005DA"/>
    <w:rsid w:val="007012C9"/>
    <w:rsid w:val="00701BC9"/>
    <w:rsid w:val="0070273D"/>
    <w:rsid w:val="00703EEE"/>
    <w:rsid w:val="00707F57"/>
    <w:rsid w:val="00710570"/>
    <w:rsid w:val="00716404"/>
    <w:rsid w:val="00724EA1"/>
    <w:rsid w:val="0073200E"/>
    <w:rsid w:val="00732F66"/>
    <w:rsid w:val="007374C8"/>
    <w:rsid w:val="007425AB"/>
    <w:rsid w:val="00744993"/>
    <w:rsid w:val="00744D9B"/>
    <w:rsid w:val="0074560E"/>
    <w:rsid w:val="0074680D"/>
    <w:rsid w:val="007566AB"/>
    <w:rsid w:val="007571D8"/>
    <w:rsid w:val="00763E0F"/>
    <w:rsid w:val="00764E72"/>
    <w:rsid w:val="00766E66"/>
    <w:rsid w:val="00771A93"/>
    <w:rsid w:val="00773791"/>
    <w:rsid w:val="007737A1"/>
    <w:rsid w:val="007831D9"/>
    <w:rsid w:val="00787889"/>
    <w:rsid w:val="00794F80"/>
    <w:rsid w:val="00797F8D"/>
    <w:rsid w:val="007A110B"/>
    <w:rsid w:val="007B0FA6"/>
    <w:rsid w:val="007B3883"/>
    <w:rsid w:val="007B689A"/>
    <w:rsid w:val="007C0FBE"/>
    <w:rsid w:val="007C2771"/>
    <w:rsid w:val="007C2CEA"/>
    <w:rsid w:val="007C50AC"/>
    <w:rsid w:val="007C5CD7"/>
    <w:rsid w:val="007C7E31"/>
    <w:rsid w:val="007D03EA"/>
    <w:rsid w:val="007D3441"/>
    <w:rsid w:val="007D5D97"/>
    <w:rsid w:val="007D75F6"/>
    <w:rsid w:val="007E09BC"/>
    <w:rsid w:val="007E31A6"/>
    <w:rsid w:val="007E5335"/>
    <w:rsid w:val="007F170D"/>
    <w:rsid w:val="007F3835"/>
    <w:rsid w:val="007F465C"/>
    <w:rsid w:val="007F734C"/>
    <w:rsid w:val="008004D0"/>
    <w:rsid w:val="00807D18"/>
    <w:rsid w:val="00812177"/>
    <w:rsid w:val="00823E8E"/>
    <w:rsid w:val="00824976"/>
    <w:rsid w:val="00832691"/>
    <w:rsid w:val="00837F74"/>
    <w:rsid w:val="008409B2"/>
    <w:rsid w:val="00840BD7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67E59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17E8"/>
    <w:rsid w:val="008918B9"/>
    <w:rsid w:val="0089326D"/>
    <w:rsid w:val="008941B5"/>
    <w:rsid w:val="00894670"/>
    <w:rsid w:val="00896FAA"/>
    <w:rsid w:val="008A060A"/>
    <w:rsid w:val="008A3BC6"/>
    <w:rsid w:val="008A3C93"/>
    <w:rsid w:val="008A4B99"/>
    <w:rsid w:val="008B029A"/>
    <w:rsid w:val="008B1336"/>
    <w:rsid w:val="008B143F"/>
    <w:rsid w:val="008B3478"/>
    <w:rsid w:val="008B4E14"/>
    <w:rsid w:val="008C30C5"/>
    <w:rsid w:val="008C45ED"/>
    <w:rsid w:val="008D3F04"/>
    <w:rsid w:val="008D4BA1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8E0"/>
    <w:rsid w:val="008F6626"/>
    <w:rsid w:val="00900559"/>
    <w:rsid w:val="00902BF8"/>
    <w:rsid w:val="00904276"/>
    <w:rsid w:val="00904B47"/>
    <w:rsid w:val="009054A2"/>
    <w:rsid w:val="009112E8"/>
    <w:rsid w:val="00911C7B"/>
    <w:rsid w:val="0092107E"/>
    <w:rsid w:val="00930FA8"/>
    <w:rsid w:val="00931D23"/>
    <w:rsid w:val="00932586"/>
    <w:rsid w:val="009347E8"/>
    <w:rsid w:val="00940861"/>
    <w:rsid w:val="00941643"/>
    <w:rsid w:val="00942884"/>
    <w:rsid w:val="009544F6"/>
    <w:rsid w:val="00957526"/>
    <w:rsid w:val="00963714"/>
    <w:rsid w:val="00963783"/>
    <w:rsid w:val="00965587"/>
    <w:rsid w:val="00966B3A"/>
    <w:rsid w:val="009678D2"/>
    <w:rsid w:val="009712A6"/>
    <w:rsid w:val="00976F77"/>
    <w:rsid w:val="00983317"/>
    <w:rsid w:val="00983526"/>
    <w:rsid w:val="009836C6"/>
    <w:rsid w:val="00984A00"/>
    <w:rsid w:val="00985206"/>
    <w:rsid w:val="00985950"/>
    <w:rsid w:val="009859B5"/>
    <w:rsid w:val="00986940"/>
    <w:rsid w:val="0099028A"/>
    <w:rsid w:val="0099029B"/>
    <w:rsid w:val="00990763"/>
    <w:rsid w:val="0099371F"/>
    <w:rsid w:val="009A08D8"/>
    <w:rsid w:val="009A0F09"/>
    <w:rsid w:val="009A6173"/>
    <w:rsid w:val="009A6D76"/>
    <w:rsid w:val="009A72E6"/>
    <w:rsid w:val="009A74FE"/>
    <w:rsid w:val="009B2525"/>
    <w:rsid w:val="009C241F"/>
    <w:rsid w:val="009C391D"/>
    <w:rsid w:val="009C3E3D"/>
    <w:rsid w:val="009C4369"/>
    <w:rsid w:val="009C61A4"/>
    <w:rsid w:val="009D2FF5"/>
    <w:rsid w:val="009D7A56"/>
    <w:rsid w:val="009E299C"/>
    <w:rsid w:val="009E2B24"/>
    <w:rsid w:val="009E4567"/>
    <w:rsid w:val="009E6EF8"/>
    <w:rsid w:val="009F1002"/>
    <w:rsid w:val="009F5AC8"/>
    <w:rsid w:val="009F61C1"/>
    <w:rsid w:val="009F61E7"/>
    <w:rsid w:val="00A02D60"/>
    <w:rsid w:val="00A033ED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2E9E"/>
    <w:rsid w:val="00A55427"/>
    <w:rsid w:val="00A61514"/>
    <w:rsid w:val="00A62AB9"/>
    <w:rsid w:val="00A62B5D"/>
    <w:rsid w:val="00A70C11"/>
    <w:rsid w:val="00A70E17"/>
    <w:rsid w:val="00A801B0"/>
    <w:rsid w:val="00A86385"/>
    <w:rsid w:val="00A8693E"/>
    <w:rsid w:val="00A86AC4"/>
    <w:rsid w:val="00A936BE"/>
    <w:rsid w:val="00A97C7C"/>
    <w:rsid w:val="00AA0C40"/>
    <w:rsid w:val="00AA507A"/>
    <w:rsid w:val="00AA5325"/>
    <w:rsid w:val="00AA5421"/>
    <w:rsid w:val="00AA5C6B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4E6B"/>
    <w:rsid w:val="00AD4FAE"/>
    <w:rsid w:val="00AD6170"/>
    <w:rsid w:val="00AD7FE0"/>
    <w:rsid w:val="00AE43B9"/>
    <w:rsid w:val="00AE498C"/>
    <w:rsid w:val="00AF6C50"/>
    <w:rsid w:val="00B00273"/>
    <w:rsid w:val="00B02798"/>
    <w:rsid w:val="00B0329B"/>
    <w:rsid w:val="00B045ED"/>
    <w:rsid w:val="00B10D78"/>
    <w:rsid w:val="00B11D50"/>
    <w:rsid w:val="00B17B1C"/>
    <w:rsid w:val="00B204BB"/>
    <w:rsid w:val="00B335A9"/>
    <w:rsid w:val="00B33BCB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5657"/>
    <w:rsid w:val="00B560E0"/>
    <w:rsid w:val="00B56FE7"/>
    <w:rsid w:val="00B628DC"/>
    <w:rsid w:val="00B64038"/>
    <w:rsid w:val="00B66928"/>
    <w:rsid w:val="00B725E1"/>
    <w:rsid w:val="00B73AA7"/>
    <w:rsid w:val="00B764C7"/>
    <w:rsid w:val="00B8192D"/>
    <w:rsid w:val="00B85399"/>
    <w:rsid w:val="00B85D10"/>
    <w:rsid w:val="00B90487"/>
    <w:rsid w:val="00B9151C"/>
    <w:rsid w:val="00B94097"/>
    <w:rsid w:val="00B95343"/>
    <w:rsid w:val="00B96A5E"/>
    <w:rsid w:val="00BA15A4"/>
    <w:rsid w:val="00BA2927"/>
    <w:rsid w:val="00BA29E9"/>
    <w:rsid w:val="00BA2B2F"/>
    <w:rsid w:val="00BA3414"/>
    <w:rsid w:val="00BB082B"/>
    <w:rsid w:val="00BB4779"/>
    <w:rsid w:val="00BC418F"/>
    <w:rsid w:val="00BC54F3"/>
    <w:rsid w:val="00BD5E53"/>
    <w:rsid w:val="00BD737C"/>
    <w:rsid w:val="00BE0629"/>
    <w:rsid w:val="00BE2ACE"/>
    <w:rsid w:val="00BF043D"/>
    <w:rsid w:val="00BF15C5"/>
    <w:rsid w:val="00BF5629"/>
    <w:rsid w:val="00C043B9"/>
    <w:rsid w:val="00C04C78"/>
    <w:rsid w:val="00C04C86"/>
    <w:rsid w:val="00C10F14"/>
    <w:rsid w:val="00C10F2B"/>
    <w:rsid w:val="00C13326"/>
    <w:rsid w:val="00C14540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986"/>
    <w:rsid w:val="00C64AB2"/>
    <w:rsid w:val="00C67730"/>
    <w:rsid w:val="00C8354B"/>
    <w:rsid w:val="00C84BA8"/>
    <w:rsid w:val="00C933B6"/>
    <w:rsid w:val="00C93766"/>
    <w:rsid w:val="00C9544D"/>
    <w:rsid w:val="00C95DC5"/>
    <w:rsid w:val="00CA2E32"/>
    <w:rsid w:val="00CB0D85"/>
    <w:rsid w:val="00CB169A"/>
    <w:rsid w:val="00CB2EA3"/>
    <w:rsid w:val="00CB36B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2B35"/>
    <w:rsid w:val="00CE4A38"/>
    <w:rsid w:val="00CE5027"/>
    <w:rsid w:val="00CE7B9F"/>
    <w:rsid w:val="00CF28AC"/>
    <w:rsid w:val="00CF414F"/>
    <w:rsid w:val="00CF750B"/>
    <w:rsid w:val="00CF768E"/>
    <w:rsid w:val="00D02CBA"/>
    <w:rsid w:val="00D0504E"/>
    <w:rsid w:val="00D05A41"/>
    <w:rsid w:val="00D06360"/>
    <w:rsid w:val="00D11B69"/>
    <w:rsid w:val="00D14CF4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1666"/>
    <w:rsid w:val="00D51BEB"/>
    <w:rsid w:val="00D55B56"/>
    <w:rsid w:val="00D561D6"/>
    <w:rsid w:val="00D6211F"/>
    <w:rsid w:val="00D66343"/>
    <w:rsid w:val="00D67C17"/>
    <w:rsid w:val="00D744BA"/>
    <w:rsid w:val="00D76106"/>
    <w:rsid w:val="00D80FBA"/>
    <w:rsid w:val="00D81B85"/>
    <w:rsid w:val="00D82883"/>
    <w:rsid w:val="00D82B31"/>
    <w:rsid w:val="00D82D91"/>
    <w:rsid w:val="00D9305B"/>
    <w:rsid w:val="00D93B52"/>
    <w:rsid w:val="00D9500E"/>
    <w:rsid w:val="00D96402"/>
    <w:rsid w:val="00D96840"/>
    <w:rsid w:val="00DA0F44"/>
    <w:rsid w:val="00DA2F65"/>
    <w:rsid w:val="00DA4D73"/>
    <w:rsid w:val="00DB0D83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6F29"/>
    <w:rsid w:val="00DE0B32"/>
    <w:rsid w:val="00DE2B8E"/>
    <w:rsid w:val="00DE2D77"/>
    <w:rsid w:val="00DE3724"/>
    <w:rsid w:val="00DE554D"/>
    <w:rsid w:val="00DE7274"/>
    <w:rsid w:val="00DF4CE4"/>
    <w:rsid w:val="00DF4FCD"/>
    <w:rsid w:val="00DF67F1"/>
    <w:rsid w:val="00E030B2"/>
    <w:rsid w:val="00E0377F"/>
    <w:rsid w:val="00E10573"/>
    <w:rsid w:val="00E12CB9"/>
    <w:rsid w:val="00E207D4"/>
    <w:rsid w:val="00E341B0"/>
    <w:rsid w:val="00E347D1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73B8B"/>
    <w:rsid w:val="00E74EA7"/>
    <w:rsid w:val="00E76A9C"/>
    <w:rsid w:val="00E85EB5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6235"/>
    <w:rsid w:val="00EE2473"/>
    <w:rsid w:val="00EE57F1"/>
    <w:rsid w:val="00EF183E"/>
    <w:rsid w:val="00EF2AC0"/>
    <w:rsid w:val="00EF5090"/>
    <w:rsid w:val="00EF510F"/>
    <w:rsid w:val="00F1154E"/>
    <w:rsid w:val="00F14DB8"/>
    <w:rsid w:val="00F16BE2"/>
    <w:rsid w:val="00F2350E"/>
    <w:rsid w:val="00F26BCF"/>
    <w:rsid w:val="00F339C2"/>
    <w:rsid w:val="00F34153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50CE"/>
    <w:rsid w:val="00F6631C"/>
    <w:rsid w:val="00F70C43"/>
    <w:rsid w:val="00F71ECA"/>
    <w:rsid w:val="00F7571B"/>
    <w:rsid w:val="00F81DFF"/>
    <w:rsid w:val="00F82640"/>
    <w:rsid w:val="00F8492C"/>
    <w:rsid w:val="00F878A8"/>
    <w:rsid w:val="00F91FF8"/>
    <w:rsid w:val="00F9200C"/>
    <w:rsid w:val="00F934A6"/>
    <w:rsid w:val="00F97DD1"/>
    <w:rsid w:val="00FA3333"/>
    <w:rsid w:val="00FA6CB2"/>
    <w:rsid w:val="00FB50D3"/>
    <w:rsid w:val="00FB5B99"/>
    <w:rsid w:val="00FC2B2A"/>
    <w:rsid w:val="00FC621D"/>
    <w:rsid w:val="00FD1E65"/>
    <w:rsid w:val="00FD1EE1"/>
    <w:rsid w:val="00FD2661"/>
    <w:rsid w:val="00FD33A7"/>
    <w:rsid w:val="00FD4601"/>
    <w:rsid w:val="00FD46F1"/>
    <w:rsid w:val="00FE024B"/>
    <w:rsid w:val="00FE088D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FB47-0C15-4793-A530-DF2CFD3B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7306</Words>
  <Characters>41646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2</cp:revision>
  <cp:lastPrinted>2021-03-23T22:56:00Z</cp:lastPrinted>
  <dcterms:created xsi:type="dcterms:W3CDTF">2021-11-12T03:50:00Z</dcterms:created>
  <dcterms:modified xsi:type="dcterms:W3CDTF">2021-11-12T03:50:00Z</dcterms:modified>
</cp:coreProperties>
</file>