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A4718A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"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2021 - 2024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P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30FA8" w:rsidRPr="003A161E" w:rsidRDefault="00930FA8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p w:rsidR="00AC777D" w:rsidRPr="00930FA8" w:rsidRDefault="00AC777D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86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930FA8" w:rsidRPr="00930FA8" w:rsidTr="008E29E2">
        <w:tc>
          <w:tcPr>
            <w:tcW w:w="3119" w:type="dxa"/>
            <w:vAlign w:val="center"/>
            <w:hideMark/>
          </w:tcPr>
          <w:p w:rsidR="00930FA8" w:rsidRPr="00930FA8" w:rsidRDefault="00930FA8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520" w:type="dxa"/>
            <w:vAlign w:val="center"/>
            <w:hideMark/>
          </w:tcPr>
          <w:p w:rsidR="00930FA8" w:rsidRPr="00930FA8" w:rsidRDefault="00930FA8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 w:rsidR="00595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Находкинского городского округа</w:t>
            </w:r>
          </w:p>
        </w:tc>
      </w:tr>
      <w:tr w:rsidR="00FD2661" w:rsidRPr="00930FA8" w:rsidTr="008E29E2">
        <w:tc>
          <w:tcPr>
            <w:tcW w:w="3119" w:type="dxa"/>
          </w:tcPr>
          <w:p w:rsidR="00FD2661" w:rsidRPr="004F2FB9" w:rsidRDefault="00FD2661" w:rsidP="008E29E2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520" w:type="dxa"/>
          </w:tcPr>
          <w:p w:rsidR="00FD2661" w:rsidRPr="004F2FB9" w:rsidRDefault="00FD2661" w:rsidP="008E29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A52E9E" w:rsidRPr="00930FA8" w:rsidTr="008E29E2">
        <w:tc>
          <w:tcPr>
            <w:tcW w:w="3119" w:type="dxa"/>
            <w:vAlign w:val="center"/>
          </w:tcPr>
          <w:p w:rsidR="00A52E9E" w:rsidRPr="00B5168D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520" w:type="dxa"/>
            <w:vAlign w:val="center"/>
          </w:tcPr>
          <w:p w:rsidR="00A52E9E" w:rsidRPr="00B5168D" w:rsidRDefault="00A52E9E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A52E9E" w:rsidRPr="00930FA8" w:rsidTr="008E29E2">
        <w:tc>
          <w:tcPr>
            <w:tcW w:w="3119" w:type="dxa"/>
            <w:vAlign w:val="center"/>
            <w:hideMark/>
          </w:tcPr>
          <w:p w:rsidR="00A52E9E" w:rsidRPr="001876FE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520" w:type="dxa"/>
            <w:vAlign w:val="center"/>
            <w:hideMark/>
          </w:tcPr>
          <w:p w:rsidR="00A52E9E" w:rsidRPr="001876FE" w:rsidRDefault="00A52E9E" w:rsidP="008E29E2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A52E9E" w:rsidRPr="00930FA8" w:rsidTr="008E29E2">
        <w:tc>
          <w:tcPr>
            <w:tcW w:w="3119" w:type="dxa"/>
            <w:vAlign w:val="center"/>
            <w:hideMark/>
          </w:tcPr>
          <w:p w:rsidR="00A52E9E" w:rsidRPr="00930FA8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520" w:type="dxa"/>
            <w:vAlign w:val="center"/>
            <w:hideMark/>
          </w:tcPr>
          <w:p w:rsidR="00A52E9E" w:rsidRPr="00930FA8" w:rsidRDefault="00A52E9E" w:rsidP="008E29E2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A52E9E" w:rsidRPr="00930FA8" w:rsidTr="008E29E2">
        <w:tc>
          <w:tcPr>
            <w:tcW w:w="3119" w:type="dxa"/>
            <w:vAlign w:val="center"/>
          </w:tcPr>
          <w:p w:rsidR="00A52E9E" w:rsidRPr="00930FA8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520" w:type="dxa"/>
          </w:tcPr>
          <w:p w:rsidR="00A52E9E" w:rsidRDefault="00A52E9E" w:rsidP="008E29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содержания</w:t>
            </w:r>
            <w:r w:rsidRPr="00E46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озеленения  общественных территорий и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внешнего благоустройства Находкинского городского округа</w:t>
            </w:r>
          </w:p>
          <w:p w:rsidR="00A52E9E" w:rsidRPr="004F2FB9" w:rsidRDefault="00A52E9E" w:rsidP="008E29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A52E9E" w:rsidRPr="00930FA8" w:rsidTr="008E29E2">
        <w:tc>
          <w:tcPr>
            <w:tcW w:w="3119" w:type="dxa"/>
            <w:vAlign w:val="center"/>
          </w:tcPr>
          <w:p w:rsidR="00A52E9E" w:rsidRPr="00930FA8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vAlign w:val="center"/>
          </w:tcPr>
          <w:p w:rsidR="00A52E9E" w:rsidRPr="00930FA8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2E9E" w:rsidRPr="00930FA8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314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.г.</w:t>
            </w:r>
          </w:p>
          <w:p w:rsidR="00A52E9E" w:rsidRPr="00930FA8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2E9E" w:rsidRPr="00930FA8" w:rsidTr="008E29E2">
        <w:tc>
          <w:tcPr>
            <w:tcW w:w="3119" w:type="dxa"/>
            <w:vAlign w:val="center"/>
            <w:hideMark/>
          </w:tcPr>
          <w:p w:rsidR="00A52E9E" w:rsidRPr="00930FA8" w:rsidRDefault="00A52E9E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520" w:type="dxa"/>
            <w:vAlign w:val="center"/>
            <w:hideMark/>
          </w:tcPr>
          <w:p w:rsidR="00A52E9E" w:rsidRDefault="00A52E9E" w:rsidP="008E29E2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</w:t>
            </w:r>
          </w:p>
          <w:p w:rsidR="00A52E9E" w:rsidRPr="00930FA8" w:rsidRDefault="00A52E9E" w:rsidP="008E29E2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озеленением; </w:t>
            </w:r>
          </w:p>
          <w:p w:rsidR="00A52E9E" w:rsidRPr="00930FA8" w:rsidRDefault="00A52E9E" w:rsidP="008E29E2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восстановленных и (или) замененных элементов благоустройства Находкинского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</w:tr>
      <w:tr w:rsidR="00A52E9E" w:rsidRPr="00930FA8" w:rsidTr="008E29E2">
        <w:trPr>
          <w:trHeight w:val="2663"/>
        </w:trPr>
        <w:tc>
          <w:tcPr>
            <w:tcW w:w="3119" w:type="dxa"/>
            <w:vAlign w:val="center"/>
            <w:hideMark/>
          </w:tcPr>
          <w:p w:rsidR="00A52E9E" w:rsidRPr="00930FA8" w:rsidRDefault="00A52E9E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520" w:type="dxa"/>
            <w:vAlign w:val="center"/>
          </w:tcPr>
          <w:p w:rsidR="00A52E9E" w:rsidRPr="00B96A5E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437 500,0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A52E9E" w:rsidRPr="00B96A5E" w:rsidRDefault="00522859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</w:t>
            </w:r>
            <w:r w:rsidR="00A52E9E"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A5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437 500,0</w:t>
            </w:r>
            <w:r w:rsidR="00A52E9E"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0823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</w:t>
            </w:r>
            <w:r w:rsidR="00A52E9E"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52E9E" w:rsidRPr="00B96A5E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0F4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102 000,0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52E9E" w:rsidRPr="00B96A5E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106 400,0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</w:t>
            </w:r>
          </w:p>
          <w:p w:rsidR="00A52E9E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111 600,0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52E9E" w:rsidRPr="00B96A5E" w:rsidRDefault="00A52E9E" w:rsidP="008E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- 2024 год – 117 500,0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52E9E" w:rsidRPr="00930FA8" w:rsidTr="008E29E2">
        <w:tc>
          <w:tcPr>
            <w:tcW w:w="3119" w:type="dxa"/>
            <w:vAlign w:val="center"/>
            <w:hideMark/>
          </w:tcPr>
          <w:p w:rsidR="00A52E9E" w:rsidRPr="00930FA8" w:rsidRDefault="00A52E9E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</w:t>
            </w:r>
          </w:p>
        </w:tc>
        <w:tc>
          <w:tcPr>
            <w:tcW w:w="6520" w:type="dxa"/>
          </w:tcPr>
          <w:p w:rsidR="00A52E9E" w:rsidRDefault="00A52E9E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мероприятий муниципальной программы составляет – 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уб., в том числе:</w:t>
            </w:r>
          </w:p>
          <w:p w:rsidR="00A52E9E" w:rsidRDefault="00522859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A5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едеральный бюджет – 0,00 тыс</w:t>
            </w:r>
            <w:proofErr w:type="gramStart"/>
            <w:r w:rsidR="00A5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A5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  <w:p w:rsidR="00A52E9E" w:rsidRDefault="00522859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</w:t>
            </w:r>
            <w:r w:rsidR="00A5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– 0,00 тыс</w:t>
            </w:r>
            <w:proofErr w:type="gramStart"/>
            <w:r w:rsidR="00A5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A5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  <w:p w:rsidR="00A52E9E" w:rsidRPr="0004085A" w:rsidRDefault="00A52E9E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  <w:r w:rsidR="00522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</w:tc>
      </w:tr>
      <w:tr w:rsidR="00A52E9E" w:rsidRPr="00930FA8" w:rsidTr="008E29E2">
        <w:tc>
          <w:tcPr>
            <w:tcW w:w="3119" w:type="dxa"/>
            <w:vAlign w:val="center"/>
            <w:hideMark/>
          </w:tcPr>
          <w:p w:rsidR="00A52E9E" w:rsidRPr="00930FA8" w:rsidRDefault="00A52E9E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520" w:type="dxa"/>
            <w:vAlign w:val="center"/>
            <w:hideMark/>
          </w:tcPr>
          <w:p w:rsidR="00A52E9E" w:rsidRDefault="00A52E9E" w:rsidP="008E29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 составит к 2024 г. - 100%</w:t>
            </w:r>
          </w:p>
          <w:p w:rsidR="00A52E9E" w:rsidRPr="00930FA8" w:rsidRDefault="00A52E9E" w:rsidP="008E29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озеленением составит к 2024 г. - 100%</w:t>
            </w:r>
          </w:p>
          <w:p w:rsidR="00A52E9E" w:rsidRPr="00930FA8" w:rsidRDefault="00A52E9E" w:rsidP="008E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восстановленных и (или) замененных элементов благоустройства составит 447 ед. </w:t>
            </w:r>
            <w:r w:rsidR="00AC0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году</w:t>
            </w:r>
          </w:p>
        </w:tc>
      </w:tr>
    </w:tbl>
    <w:p w:rsidR="00D82B31" w:rsidRDefault="00B5168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66EF8" w:rsidRDefault="00A66EF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66EF8" w:rsidRDefault="00A66EF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66EF8" w:rsidRDefault="00A66EF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66EF8" w:rsidRDefault="00A66EF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66EF8" w:rsidRDefault="00A66EF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66EF8" w:rsidRDefault="00A66EF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66EF8" w:rsidRDefault="00A66EF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1804A7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9305B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D9305B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 xml:space="preserve">на 2021-2024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6D589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6D589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6D589A">
      <w:pPr>
        <w:widowControl w:val="0"/>
        <w:autoSpaceDE w:val="0"/>
        <w:autoSpaceDN w:val="0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6D589A">
      <w:pPr>
        <w:widowControl w:val="0"/>
        <w:autoSpaceDE w:val="0"/>
        <w:autoSpaceDN w:val="0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6D589A">
      <w:pPr>
        <w:widowControl w:val="0"/>
        <w:autoSpaceDE w:val="0"/>
        <w:autoSpaceDN w:val="0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6D589A">
      <w:pPr>
        <w:widowControl w:val="0"/>
        <w:autoSpaceDE w:val="0"/>
        <w:autoSpaceDN w:val="0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6D589A">
      <w:pPr>
        <w:widowControl w:val="0"/>
        <w:autoSpaceDE w:val="0"/>
        <w:autoSpaceDN w:val="0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6D589A">
      <w:pPr>
        <w:widowControl w:val="0"/>
        <w:autoSpaceDE w:val="0"/>
        <w:autoSpaceDN w:val="0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6D589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направленностью на повышение уровня благоустройства территории. Успешное 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242665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242665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242665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242665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242665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Памятнике Победы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 1941-1945 гг.</w:t>
      </w:r>
    </w:p>
    <w:p w:rsidR="00620A1A" w:rsidRPr="00A4718A" w:rsidRDefault="00620A1A" w:rsidP="00242665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 праздникам необходимо обеспечивать оформление мест уличных гуляний и территорий общего пользования тематическими элементами, инсталляциями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иллюминицией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43D8" w:rsidRPr="00A4718A" w:rsidRDefault="00B443D8" w:rsidP="00F14DB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0538A4" w:rsidRDefault="000538A4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CD" w:rsidRPr="00A4718A" w:rsidRDefault="003352CD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1804A7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3D8" w:rsidRPr="00A4718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>
        <w:rPr>
          <w:rFonts w:ascii="Times New Roman" w:hAnsi="Times New Roman" w:cs="Times New Roman"/>
          <w:sz w:val="26"/>
          <w:szCs w:val="26"/>
        </w:rPr>
        <w:t>21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A4718A">
        <w:rPr>
          <w:rFonts w:ascii="Times New Roman" w:hAnsi="Times New Roman" w:cs="Times New Roman"/>
          <w:sz w:val="26"/>
          <w:szCs w:val="26"/>
        </w:rPr>
        <w:t>2</w:t>
      </w:r>
      <w:r w:rsidR="00F14DB8">
        <w:rPr>
          <w:rFonts w:ascii="Times New Roman" w:hAnsi="Times New Roman" w:cs="Times New Roman"/>
          <w:sz w:val="26"/>
          <w:szCs w:val="26"/>
        </w:rPr>
        <w:t>4</w:t>
      </w:r>
      <w:r w:rsidRPr="00A4718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A4718A">
        <w:rPr>
          <w:rFonts w:ascii="Times New Roman" w:hAnsi="Times New Roman" w:cs="Times New Roman"/>
          <w:sz w:val="26"/>
          <w:szCs w:val="26"/>
        </w:rPr>
        <w:t>ов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52CD" w:rsidRPr="00A4718A" w:rsidRDefault="003352CD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804A7" w:rsidP="001E4F74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1E4F74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182ADE" w:rsidRPr="00A4718A" w:rsidRDefault="00182ADE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D0504E" w:rsidRDefault="00EC37AF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Pr="004F2FB9" w:rsidRDefault="00941643" w:rsidP="0094164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3119"/>
        <w:gridCol w:w="2693"/>
      </w:tblGrid>
      <w:tr w:rsidR="00941643" w:rsidRPr="004F2FB9" w:rsidTr="00EB7F0F">
        <w:trPr>
          <w:trHeight w:val="642"/>
        </w:trPr>
        <w:tc>
          <w:tcPr>
            <w:tcW w:w="850" w:type="dxa"/>
          </w:tcPr>
          <w:p w:rsidR="00941643" w:rsidRPr="004F2FB9" w:rsidRDefault="00941643" w:rsidP="00332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02" w:type="dxa"/>
          </w:tcPr>
          <w:p w:rsidR="00941643" w:rsidRPr="004F2FB9" w:rsidRDefault="00941643" w:rsidP="00332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332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119" w:type="dxa"/>
          </w:tcPr>
          <w:p w:rsidR="00941643" w:rsidRPr="004F2FB9" w:rsidRDefault="00941643" w:rsidP="00332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Методика расчета </w:t>
            </w:r>
          </w:p>
        </w:tc>
        <w:tc>
          <w:tcPr>
            <w:tcW w:w="2693" w:type="dxa"/>
          </w:tcPr>
          <w:p w:rsidR="00941643" w:rsidRPr="004F2FB9" w:rsidRDefault="00941643" w:rsidP="00332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EB7F0F">
        <w:trPr>
          <w:trHeight w:val="245"/>
        </w:trPr>
        <w:tc>
          <w:tcPr>
            <w:tcW w:w="850" w:type="dxa"/>
            <w:vAlign w:val="center"/>
          </w:tcPr>
          <w:p w:rsidR="00941643" w:rsidRPr="004F2FB9" w:rsidRDefault="00941643" w:rsidP="006D58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6D58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</w:tcPr>
          <w:p w:rsidR="00677166" w:rsidRPr="008917E8" w:rsidRDefault="00861C94" w:rsidP="008917E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119" w:type="dxa"/>
          </w:tcPr>
          <w:p w:rsidR="00941643" w:rsidRPr="001D1CB2" w:rsidRDefault="00941643" w:rsidP="003328D6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3328D6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1D1CB2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693" w:type="dxa"/>
          </w:tcPr>
          <w:p w:rsidR="00941643" w:rsidRPr="004F2FB9" w:rsidRDefault="00941643" w:rsidP="003328D6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3328D6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EB7F0F">
        <w:trPr>
          <w:trHeight w:val="1411"/>
        </w:trPr>
        <w:tc>
          <w:tcPr>
            <w:tcW w:w="850" w:type="dxa"/>
            <w:vAlign w:val="center"/>
          </w:tcPr>
          <w:p w:rsidR="00067740" w:rsidRPr="004F2FB9" w:rsidRDefault="00067740" w:rsidP="006D58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2" w:type="dxa"/>
          </w:tcPr>
          <w:p w:rsidR="00067740" w:rsidRPr="004F2FB9" w:rsidRDefault="002E0E59" w:rsidP="003328D6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119" w:type="dxa"/>
          </w:tcPr>
          <w:p w:rsidR="00067740" w:rsidRPr="004F2FB9" w:rsidRDefault="00067740" w:rsidP="008917E8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8917E8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8917E8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693" w:type="dxa"/>
          </w:tcPr>
          <w:p w:rsidR="00067740" w:rsidRPr="004F2FB9" w:rsidRDefault="00067740" w:rsidP="008917E8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8917E8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EB7F0F">
        <w:trPr>
          <w:trHeight w:val="1411"/>
        </w:trPr>
        <w:tc>
          <w:tcPr>
            <w:tcW w:w="850" w:type="dxa"/>
            <w:vAlign w:val="center"/>
          </w:tcPr>
          <w:p w:rsidR="00067740" w:rsidRDefault="00067740" w:rsidP="006D58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02" w:type="dxa"/>
          </w:tcPr>
          <w:p w:rsidR="00067740" w:rsidRPr="004F2FB9" w:rsidRDefault="002E0E59" w:rsidP="008917E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119" w:type="dxa"/>
          </w:tcPr>
          <w:p w:rsidR="00067740" w:rsidRPr="004F2FB9" w:rsidRDefault="00067740" w:rsidP="008917E8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693" w:type="dxa"/>
          </w:tcPr>
          <w:p w:rsidR="00067740" w:rsidRPr="004F2FB9" w:rsidRDefault="00067740" w:rsidP="008917E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66EF8" w:rsidRDefault="00A66EF8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A4718A" w:rsidRDefault="000B5F2E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70C11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70C11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70C11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70C11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70C11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70C11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70C11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№№5-7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242665">
      <w:pPr>
        <w:suppressAutoHyphens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 со сбором и вывозом выкошенной травы;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42665" w:rsidRDefault="003A27C6" w:rsidP="00242665">
      <w:pPr>
        <w:suppressAutoHyphens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3328D6">
      <w:pPr>
        <w:suppressAutoHyphens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F71ECA">
      <w:pPr>
        <w:suppressAutoHyphens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F71ECA">
      <w:pPr>
        <w:suppressAutoHyphens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242665">
      <w:pPr>
        <w:suppressAutoHyphens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242665">
      <w:pPr>
        <w:suppressAutoHyphens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911C7B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B33BCB" w:rsidRDefault="00B33BCB" w:rsidP="00911C7B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52CD" w:rsidRDefault="003352CD" w:rsidP="00911C7B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3C05" w:rsidRPr="00A4718A" w:rsidRDefault="00EC3C05" w:rsidP="00911C7B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A66EF8" w:rsidP="001E4F74">
      <w:pPr>
        <w:pStyle w:val="ConsPlusNormal"/>
        <w:tabs>
          <w:tab w:val="left" w:pos="3832"/>
          <w:tab w:val="center" w:pos="5741"/>
        </w:tabs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1E4F74">
      <w:pPr>
        <w:pStyle w:val="ConsPlusNormal"/>
        <w:tabs>
          <w:tab w:val="left" w:pos="3832"/>
          <w:tab w:val="center" w:pos="5741"/>
        </w:tabs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B47A38">
      <w:pPr>
        <w:pStyle w:val="ConsPlusNormal"/>
        <w:tabs>
          <w:tab w:val="left" w:pos="3832"/>
          <w:tab w:val="center" w:pos="5741"/>
        </w:tabs>
        <w:spacing w:line="360" w:lineRule="auto"/>
        <w:ind w:left="426" w:firstLine="708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1804A7">
      <w:pPr>
        <w:pStyle w:val="ConsPlusNormal"/>
        <w:tabs>
          <w:tab w:val="left" w:pos="3832"/>
          <w:tab w:val="center" w:pos="5741"/>
        </w:tabs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B47A38">
      <w:pPr>
        <w:pStyle w:val="ConsPlusNormal"/>
        <w:tabs>
          <w:tab w:val="left" w:pos="3832"/>
          <w:tab w:val="center" w:pos="5741"/>
        </w:tabs>
        <w:spacing w:line="360" w:lineRule="auto"/>
        <w:ind w:left="426" w:firstLine="708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A66EF8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45"/>
      <w:bookmarkEnd w:id="1"/>
    </w:p>
    <w:p w:rsidR="00B443D8" w:rsidRPr="00A4718A" w:rsidRDefault="00A66EF8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0B5F2E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0B5F2E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i-го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1D1CB2" w:rsidRPr="00A4718A" w:rsidRDefault="001D1CB2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0B5F2E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0B5F2E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EE1">
        <w:rPr>
          <w:rFonts w:ascii="Times New Roman" w:hAnsi="Times New Roman" w:cs="Times New Roman"/>
          <w:sz w:val="26"/>
          <w:szCs w:val="26"/>
        </w:rPr>
        <w:t>7.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B443D8" w:rsidRPr="00A4718A" w:rsidRDefault="000B5F2E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Оценка эффективности реализации муниципальной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lastRenderedPageBreak/>
        <w:t>(подпрограммы) рассчитывается по следующей формуле: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A4718A" w:rsidRDefault="000B5F2E" w:rsidP="00577CE3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A66EF8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bookmarkStart w:id="2" w:name="_GoBack"/>
      <w:bookmarkEnd w:id="2"/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A4718A" w:rsidRDefault="000B5F2E" w:rsidP="00577CE3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Default="006C2FDE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0B5F2E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0C8" w:rsidRDefault="002730C8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  <w:sectPr w:rsidR="001E4F74" w:rsidSect="008E29E2">
          <w:headerReference w:type="default" r:id="rId14"/>
          <w:pgSz w:w="11905" w:h="16838"/>
          <w:pgMar w:top="851" w:right="706" w:bottom="993" w:left="850" w:header="0" w:footer="0" w:gutter="0"/>
          <w:cols w:space="720"/>
          <w:titlePg/>
          <w:docGrid w:linePitch="299"/>
        </w:sectPr>
      </w:pPr>
    </w:p>
    <w:p w:rsidR="00466E44" w:rsidRPr="003523A9" w:rsidRDefault="00466E44" w:rsidP="003352CD">
      <w:pPr>
        <w:autoSpaceDE w:val="0"/>
        <w:autoSpaceDN w:val="0"/>
        <w:adjustRightInd w:val="0"/>
        <w:spacing w:line="240" w:lineRule="auto"/>
        <w:ind w:left="93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66E44" w:rsidRPr="003523A9" w:rsidSect="008F357C">
      <w:headerReference w:type="default" r:id="rId15"/>
      <w:pgSz w:w="16838" w:h="11906" w:orient="landscape"/>
      <w:pgMar w:top="993" w:right="70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04" w:rsidRDefault="000F1304" w:rsidP="006E7B7D">
      <w:pPr>
        <w:spacing w:after="0" w:line="240" w:lineRule="auto"/>
      </w:pPr>
      <w:r>
        <w:separator/>
      </w:r>
    </w:p>
  </w:endnote>
  <w:endnote w:type="continuationSeparator" w:id="0">
    <w:p w:rsidR="000F1304" w:rsidRDefault="000F1304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04" w:rsidRDefault="000F1304" w:rsidP="006E7B7D">
      <w:pPr>
        <w:spacing w:after="0" w:line="240" w:lineRule="auto"/>
      </w:pPr>
      <w:r>
        <w:separator/>
      </w:r>
    </w:p>
  </w:footnote>
  <w:footnote w:type="continuationSeparator" w:id="0">
    <w:p w:rsidR="000F1304" w:rsidRDefault="000F1304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1943"/>
      <w:docPartObj>
        <w:docPartGallery w:val="Page Numbers (Top of Page)"/>
        <w:docPartUnique/>
      </w:docPartObj>
    </w:sdtPr>
    <w:sdtEndPr/>
    <w:sdtContent>
      <w:p w:rsidR="00DB5CF7" w:rsidRDefault="00DB5CF7">
        <w:pPr>
          <w:pStyle w:val="a4"/>
          <w:jc w:val="center"/>
        </w:pPr>
      </w:p>
      <w:p w:rsidR="00DB5CF7" w:rsidRDefault="00C4482B">
        <w:pPr>
          <w:pStyle w:val="a4"/>
          <w:jc w:val="center"/>
        </w:pPr>
        <w:r>
          <w:fldChar w:fldCharType="begin"/>
        </w:r>
        <w:r w:rsidR="00DB5CF7">
          <w:instrText>PAGE   \* MERGEFORMAT</w:instrText>
        </w:r>
        <w:r>
          <w:fldChar w:fldCharType="separate"/>
        </w:r>
        <w:r w:rsidR="00A66EF8">
          <w:rPr>
            <w:noProof/>
          </w:rPr>
          <w:t>13</w:t>
        </w:r>
        <w:r>
          <w:fldChar w:fldCharType="end"/>
        </w:r>
      </w:p>
    </w:sdtContent>
  </w:sdt>
  <w:p w:rsidR="00DB5CF7" w:rsidRDefault="00DB5C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DB5CF7" w:rsidRDefault="00DB5CF7">
        <w:pPr>
          <w:pStyle w:val="a4"/>
          <w:jc w:val="center"/>
        </w:pPr>
      </w:p>
      <w:p w:rsidR="00DB5CF7" w:rsidRDefault="00C4482B">
        <w:pPr>
          <w:pStyle w:val="a4"/>
          <w:jc w:val="center"/>
        </w:pPr>
        <w:r>
          <w:fldChar w:fldCharType="begin"/>
        </w:r>
        <w:r w:rsidR="00DB5CF7">
          <w:instrText>PAGE   \* MERGEFORMAT</w:instrText>
        </w:r>
        <w:r>
          <w:fldChar w:fldCharType="separate"/>
        </w:r>
        <w:r w:rsidR="001E4F74">
          <w:rPr>
            <w:noProof/>
          </w:rPr>
          <w:t>16</w:t>
        </w:r>
        <w:r>
          <w:fldChar w:fldCharType="end"/>
        </w:r>
      </w:p>
    </w:sdtContent>
  </w:sdt>
  <w:p w:rsidR="00DB5CF7" w:rsidRDefault="00DB5C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10273"/>
    <w:rsid w:val="00011C3B"/>
    <w:rsid w:val="000150EF"/>
    <w:rsid w:val="00015AA3"/>
    <w:rsid w:val="00016DF2"/>
    <w:rsid w:val="00017145"/>
    <w:rsid w:val="0001768D"/>
    <w:rsid w:val="00021A15"/>
    <w:rsid w:val="000371CC"/>
    <w:rsid w:val="0004085A"/>
    <w:rsid w:val="0004114A"/>
    <w:rsid w:val="00043666"/>
    <w:rsid w:val="00051791"/>
    <w:rsid w:val="000532C7"/>
    <w:rsid w:val="000538A4"/>
    <w:rsid w:val="00053F6B"/>
    <w:rsid w:val="000549E4"/>
    <w:rsid w:val="00054BA7"/>
    <w:rsid w:val="00062E13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2313"/>
    <w:rsid w:val="00082B66"/>
    <w:rsid w:val="00083A7F"/>
    <w:rsid w:val="00092D37"/>
    <w:rsid w:val="0009394B"/>
    <w:rsid w:val="000942E8"/>
    <w:rsid w:val="00095448"/>
    <w:rsid w:val="000A6A92"/>
    <w:rsid w:val="000A718B"/>
    <w:rsid w:val="000B06CF"/>
    <w:rsid w:val="000B469A"/>
    <w:rsid w:val="000B5161"/>
    <w:rsid w:val="000B5F2E"/>
    <w:rsid w:val="000C57B1"/>
    <w:rsid w:val="000C79E0"/>
    <w:rsid w:val="000D3F4B"/>
    <w:rsid w:val="000E195C"/>
    <w:rsid w:val="000F1304"/>
    <w:rsid w:val="000F4BA4"/>
    <w:rsid w:val="00102361"/>
    <w:rsid w:val="001053E5"/>
    <w:rsid w:val="00107A39"/>
    <w:rsid w:val="00112716"/>
    <w:rsid w:val="0012188B"/>
    <w:rsid w:val="00126B9B"/>
    <w:rsid w:val="001315CB"/>
    <w:rsid w:val="001328F8"/>
    <w:rsid w:val="001370AA"/>
    <w:rsid w:val="001370EC"/>
    <w:rsid w:val="00141E54"/>
    <w:rsid w:val="0014496C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474E"/>
    <w:rsid w:val="001B6A38"/>
    <w:rsid w:val="001C04C9"/>
    <w:rsid w:val="001C2C4E"/>
    <w:rsid w:val="001C39FD"/>
    <w:rsid w:val="001C3AAC"/>
    <w:rsid w:val="001D1040"/>
    <w:rsid w:val="001D1CB2"/>
    <w:rsid w:val="001D257A"/>
    <w:rsid w:val="001D6DC1"/>
    <w:rsid w:val="001E4F74"/>
    <w:rsid w:val="001F2188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53CFA"/>
    <w:rsid w:val="0025479A"/>
    <w:rsid w:val="00256C97"/>
    <w:rsid w:val="00260363"/>
    <w:rsid w:val="0027217E"/>
    <w:rsid w:val="002730C8"/>
    <w:rsid w:val="0027351B"/>
    <w:rsid w:val="0027377D"/>
    <w:rsid w:val="00281FE5"/>
    <w:rsid w:val="00282477"/>
    <w:rsid w:val="00284715"/>
    <w:rsid w:val="00284D09"/>
    <w:rsid w:val="002A1191"/>
    <w:rsid w:val="002A2095"/>
    <w:rsid w:val="002A7F69"/>
    <w:rsid w:val="002B444C"/>
    <w:rsid w:val="002C18B1"/>
    <w:rsid w:val="002C717E"/>
    <w:rsid w:val="002D1387"/>
    <w:rsid w:val="002D3922"/>
    <w:rsid w:val="002D4BB0"/>
    <w:rsid w:val="002E0E59"/>
    <w:rsid w:val="002E1709"/>
    <w:rsid w:val="002E638C"/>
    <w:rsid w:val="002E6633"/>
    <w:rsid w:val="002F0D2B"/>
    <w:rsid w:val="002F0E4C"/>
    <w:rsid w:val="002F28D6"/>
    <w:rsid w:val="002F2D87"/>
    <w:rsid w:val="002F4324"/>
    <w:rsid w:val="0031112C"/>
    <w:rsid w:val="0031493C"/>
    <w:rsid w:val="00316A9D"/>
    <w:rsid w:val="003206B0"/>
    <w:rsid w:val="00321541"/>
    <w:rsid w:val="00324138"/>
    <w:rsid w:val="00324FF2"/>
    <w:rsid w:val="003328D6"/>
    <w:rsid w:val="003342B7"/>
    <w:rsid w:val="00334F2E"/>
    <w:rsid w:val="00335126"/>
    <w:rsid w:val="003352CD"/>
    <w:rsid w:val="00335430"/>
    <w:rsid w:val="0033760D"/>
    <w:rsid w:val="003428A4"/>
    <w:rsid w:val="003435ED"/>
    <w:rsid w:val="003507C2"/>
    <w:rsid w:val="00350F0B"/>
    <w:rsid w:val="00351FC3"/>
    <w:rsid w:val="003523A9"/>
    <w:rsid w:val="0035453A"/>
    <w:rsid w:val="003606AF"/>
    <w:rsid w:val="003672E6"/>
    <w:rsid w:val="003700AF"/>
    <w:rsid w:val="00370C0B"/>
    <w:rsid w:val="00373A78"/>
    <w:rsid w:val="00376246"/>
    <w:rsid w:val="00382767"/>
    <w:rsid w:val="00384C57"/>
    <w:rsid w:val="00390DF8"/>
    <w:rsid w:val="00396590"/>
    <w:rsid w:val="00396634"/>
    <w:rsid w:val="0039757E"/>
    <w:rsid w:val="003A161E"/>
    <w:rsid w:val="003A27C6"/>
    <w:rsid w:val="003A2D81"/>
    <w:rsid w:val="003A337B"/>
    <w:rsid w:val="003A53A3"/>
    <w:rsid w:val="003A78EA"/>
    <w:rsid w:val="003C0CB0"/>
    <w:rsid w:val="003C6793"/>
    <w:rsid w:val="003C7AC9"/>
    <w:rsid w:val="003D1431"/>
    <w:rsid w:val="003D2609"/>
    <w:rsid w:val="003D625F"/>
    <w:rsid w:val="003D793E"/>
    <w:rsid w:val="003E71A9"/>
    <w:rsid w:val="003F107E"/>
    <w:rsid w:val="003F31F5"/>
    <w:rsid w:val="003F616C"/>
    <w:rsid w:val="003F7442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174A"/>
    <w:rsid w:val="00441807"/>
    <w:rsid w:val="004422D6"/>
    <w:rsid w:val="00444FFB"/>
    <w:rsid w:val="004463F5"/>
    <w:rsid w:val="00454709"/>
    <w:rsid w:val="0046258C"/>
    <w:rsid w:val="0046541C"/>
    <w:rsid w:val="00466E44"/>
    <w:rsid w:val="004671BA"/>
    <w:rsid w:val="00467E66"/>
    <w:rsid w:val="00473510"/>
    <w:rsid w:val="004815A8"/>
    <w:rsid w:val="004844F7"/>
    <w:rsid w:val="004849A9"/>
    <w:rsid w:val="00485E8C"/>
    <w:rsid w:val="004913CF"/>
    <w:rsid w:val="004B505E"/>
    <w:rsid w:val="004B6C35"/>
    <w:rsid w:val="004C1A4C"/>
    <w:rsid w:val="004D5F7A"/>
    <w:rsid w:val="004D752C"/>
    <w:rsid w:val="004E033B"/>
    <w:rsid w:val="004E3857"/>
    <w:rsid w:val="004F1489"/>
    <w:rsid w:val="004F2FB9"/>
    <w:rsid w:val="005014F0"/>
    <w:rsid w:val="005100B0"/>
    <w:rsid w:val="0051311D"/>
    <w:rsid w:val="005162E2"/>
    <w:rsid w:val="005207BE"/>
    <w:rsid w:val="00522859"/>
    <w:rsid w:val="0052513E"/>
    <w:rsid w:val="00526745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70BC"/>
    <w:rsid w:val="005604C8"/>
    <w:rsid w:val="005616B5"/>
    <w:rsid w:val="00563296"/>
    <w:rsid w:val="00565165"/>
    <w:rsid w:val="00573DE5"/>
    <w:rsid w:val="00575276"/>
    <w:rsid w:val="005756D1"/>
    <w:rsid w:val="00577CE3"/>
    <w:rsid w:val="00577DD9"/>
    <w:rsid w:val="00577E51"/>
    <w:rsid w:val="00577F9C"/>
    <w:rsid w:val="00581CA4"/>
    <w:rsid w:val="0058244B"/>
    <w:rsid w:val="00583E96"/>
    <w:rsid w:val="00590615"/>
    <w:rsid w:val="005917C9"/>
    <w:rsid w:val="005933C5"/>
    <w:rsid w:val="00594ACA"/>
    <w:rsid w:val="0059544F"/>
    <w:rsid w:val="005A3C32"/>
    <w:rsid w:val="005A4AE1"/>
    <w:rsid w:val="005A67FB"/>
    <w:rsid w:val="005B6CE8"/>
    <w:rsid w:val="005C1BC2"/>
    <w:rsid w:val="005C3168"/>
    <w:rsid w:val="005D1875"/>
    <w:rsid w:val="005D47DD"/>
    <w:rsid w:val="005E0F48"/>
    <w:rsid w:val="005E1819"/>
    <w:rsid w:val="005E39DC"/>
    <w:rsid w:val="005E60B4"/>
    <w:rsid w:val="005E7EBF"/>
    <w:rsid w:val="005F116E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32FDA"/>
    <w:rsid w:val="006334D6"/>
    <w:rsid w:val="006350E5"/>
    <w:rsid w:val="00637098"/>
    <w:rsid w:val="006407FD"/>
    <w:rsid w:val="006475C4"/>
    <w:rsid w:val="006525ED"/>
    <w:rsid w:val="00654BED"/>
    <w:rsid w:val="006616BA"/>
    <w:rsid w:val="0066268B"/>
    <w:rsid w:val="006642AE"/>
    <w:rsid w:val="00664E23"/>
    <w:rsid w:val="00665E26"/>
    <w:rsid w:val="006668F1"/>
    <w:rsid w:val="00666F36"/>
    <w:rsid w:val="00670181"/>
    <w:rsid w:val="0067254A"/>
    <w:rsid w:val="00677166"/>
    <w:rsid w:val="00684519"/>
    <w:rsid w:val="0069088F"/>
    <w:rsid w:val="00695DF4"/>
    <w:rsid w:val="006A216E"/>
    <w:rsid w:val="006A4CBA"/>
    <w:rsid w:val="006A5A8F"/>
    <w:rsid w:val="006B38FE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540D"/>
    <w:rsid w:val="006F62DA"/>
    <w:rsid w:val="006F7EE0"/>
    <w:rsid w:val="007005DA"/>
    <w:rsid w:val="00701BC9"/>
    <w:rsid w:val="0070273D"/>
    <w:rsid w:val="00703EEE"/>
    <w:rsid w:val="00707F57"/>
    <w:rsid w:val="00710570"/>
    <w:rsid w:val="00716404"/>
    <w:rsid w:val="00724EA1"/>
    <w:rsid w:val="0073200E"/>
    <w:rsid w:val="007425AB"/>
    <w:rsid w:val="00744993"/>
    <w:rsid w:val="00744D9B"/>
    <w:rsid w:val="0074560E"/>
    <w:rsid w:val="0074680D"/>
    <w:rsid w:val="007566AB"/>
    <w:rsid w:val="007571D8"/>
    <w:rsid w:val="00763E0F"/>
    <w:rsid w:val="00764E72"/>
    <w:rsid w:val="00766E66"/>
    <w:rsid w:val="00771A93"/>
    <w:rsid w:val="00773791"/>
    <w:rsid w:val="007737A1"/>
    <w:rsid w:val="007831D9"/>
    <w:rsid w:val="00787889"/>
    <w:rsid w:val="00794F80"/>
    <w:rsid w:val="00797F8D"/>
    <w:rsid w:val="007A110B"/>
    <w:rsid w:val="007B689A"/>
    <w:rsid w:val="007C0FBE"/>
    <w:rsid w:val="007C2771"/>
    <w:rsid w:val="007C2CEA"/>
    <w:rsid w:val="007C50AC"/>
    <w:rsid w:val="007C5CD7"/>
    <w:rsid w:val="007C7E31"/>
    <w:rsid w:val="007D03EA"/>
    <w:rsid w:val="007D3441"/>
    <w:rsid w:val="007D5D97"/>
    <w:rsid w:val="007D75F6"/>
    <w:rsid w:val="007E09BC"/>
    <w:rsid w:val="007E31A6"/>
    <w:rsid w:val="007E5335"/>
    <w:rsid w:val="007F170D"/>
    <w:rsid w:val="007F465C"/>
    <w:rsid w:val="007F734C"/>
    <w:rsid w:val="00807D18"/>
    <w:rsid w:val="00812177"/>
    <w:rsid w:val="00823E8E"/>
    <w:rsid w:val="00824976"/>
    <w:rsid w:val="00832691"/>
    <w:rsid w:val="00837F74"/>
    <w:rsid w:val="008409B2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17E8"/>
    <w:rsid w:val="008918B9"/>
    <w:rsid w:val="0089326D"/>
    <w:rsid w:val="008941B5"/>
    <w:rsid w:val="00894670"/>
    <w:rsid w:val="008A060A"/>
    <w:rsid w:val="008A3BC6"/>
    <w:rsid w:val="008B029A"/>
    <w:rsid w:val="008B1336"/>
    <w:rsid w:val="008B3478"/>
    <w:rsid w:val="008B4E14"/>
    <w:rsid w:val="008C30C5"/>
    <w:rsid w:val="008C45ED"/>
    <w:rsid w:val="008D3F04"/>
    <w:rsid w:val="008D4BA1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112E8"/>
    <w:rsid w:val="00911C7B"/>
    <w:rsid w:val="0092107E"/>
    <w:rsid w:val="00930FA8"/>
    <w:rsid w:val="00931D23"/>
    <w:rsid w:val="00932586"/>
    <w:rsid w:val="009347E8"/>
    <w:rsid w:val="00940861"/>
    <w:rsid w:val="00941643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6F77"/>
    <w:rsid w:val="00983317"/>
    <w:rsid w:val="00983526"/>
    <w:rsid w:val="009836C6"/>
    <w:rsid w:val="00985950"/>
    <w:rsid w:val="009859B5"/>
    <w:rsid w:val="0099028A"/>
    <w:rsid w:val="0099029B"/>
    <w:rsid w:val="00990763"/>
    <w:rsid w:val="0099371F"/>
    <w:rsid w:val="009A08D8"/>
    <w:rsid w:val="009A0F09"/>
    <w:rsid w:val="009A6173"/>
    <w:rsid w:val="009A691C"/>
    <w:rsid w:val="009A72E6"/>
    <w:rsid w:val="009A74FE"/>
    <w:rsid w:val="009B2525"/>
    <w:rsid w:val="009C241F"/>
    <w:rsid w:val="009C3E3D"/>
    <w:rsid w:val="009C4369"/>
    <w:rsid w:val="009C61A4"/>
    <w:rsid w:val="009D7A56"/>
    <w:rsid w:val="009E299C"/>
    <w:rsid w:val="009E2B24"/>
    <w:rsid w:val="009E4567"/>
    <w:rsid w:val="009E6EF8"/>
    <w:rsid w:val="009F1002"/>
    <w:rsid w:val="009F61C1"/>
    <w:rsid w:val="009F61E7"/>
    <w:rsid w:val="00A02D60"/>
    <w:rsid w:val="00A033ED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424C6"/>
    <w:rsid w:val="00A43997"/>
    <w:rsid w:val="00A442F3"/>
    <w:rsid w:val="00A4718A"/>
    <w:rsid w:val="00A5032B"/>
    <w:rsid w:val="00A52E9E"/>
    <w:rsid w:val="00A61514"/>
    <w:rsid w:val="00A62AB9"/>
    <w:rsid w:val="00A66EF8"/>
    <w:rsid w:val="00A70C11"/>
    <w:rsid w:val="00A70E17"/>
    <w:rsid w:val="00A801B0"/>
    <w:rsid w:val="00A86385"/>
    <w:rsid w:val="00A86AC4"/>
    <w:rsid w:val="00A936BE"/>
    <w:rsid w:val="00A97C7C"/>
    <w:rsid w:val="00AA0C40"/>
    <w:rsid w:val="00AA507A"/>
    <w:rsid w:val="00AA5325"/>
    <w:rsid w:val="00AA5421"/>
    <w:rsid w:val="00AA5C6B"/>
    <w:rsid w:val="00AB5940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4E6B"/>
    <w:rsid w:val="00AD4FAE"/>
    <w:rsid w:val="00AD7FE0"/>
    <w:rsid w:val="00AE43B9"/>
    <w:rsid w:val="00AE498C"/>
    <w:rsid w:val="00B00273"/>
    <w:rsid w:val="00B02798"/>
    <w:rsid w:val="00B0329B"/>
    <w:rsid w:val="00B045ED"/>
    <w:rsid w:val="00B11D50"/>
    <w:rsid w:val="00B204BB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5657"/>
    <w:rsid w:val="00B560E0"/>
    <w:rsid w:val="00B56FE7"/>
    <w:rsid w:val="00B628DC"/>
    <w:rsid w:val="00B725E1"/>
    <w:rsid w:val="00B764C7"/>
    <w:rsid w:val="00B8192D"/>
    <w:rsid w:val="00B85399"/>
    <w:rsid w:val="00B85D10"/>
    <w:rsid w:val="00B90487"/>
    <w:rsid w:val="00B9151C"/>
    <w:rsid w:val="00B94097"/>
    <w:rsid w:val="00B95343"/>
    <w:rsid w:val="00B96A5E"/>
    <w:rsid w:val="00BA15A4"/>
    <w:rsid w:val="00BA29E9"/>
    <w:rsid w:val="00BA2B2F"/>
    <w:rsid w:val="00BA3414"/>
    <w:rsid w:val="00BB4779"/>
    <w:rsid w:val="00BC418F"/>
    <w:rsid w:val="00BC54F3"/>
    <w:rsid w:val="00BD5E53"/>
    <w:rsid w:val="00BD737C"/>
    <w:rsid w:val="00BE0629"/>
    <w:rsid w:val="00BE2ACE"/>
    <w:rsid w:val="00BF043D"/>
    <w:rsid w:val="00BF15C5"/>
    <w:rsid w:val="00C043B9"/>
    <w:rsid w:val="00C04C78"/>
    <w:rsid w:val="00C04C86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F03"/>
    <w:rsid w:val="00C4482B"/>
    <w:rsid w:val="00C507FC"/>
    <w:rsid w:val="00C552E9"/>
    <w:rsid w:val="00C56261"/>
    <w:rsid w:val="00C57BE5"/>
    <w:rsid w:val="00C57EBE"/>
    <w:rsid w:val="00C60986"/>
    <w:rsid w:val="00C64AB2"/>
    <w:rsid w:val="00C67730"/>
    <w:rsid w:val="00C8354B"/>
    <w:rsid w:val="00C84BA8"/>
    <w:rsid w:val="00C933B6"/>
    <w:rsid w:val="00C93766"/>
    <w:rsid w:val="00C9544D"/>
    <w:rsid w:val="00C95DC5"/>
    <w:rsid w:val="00CA2E32"/>
    <w:rsid w:val="00CB0D85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E0038"/>
    <w:rsid w:val="00CE2B35"/>
    <w:rsid w:val="00CE4A38"/>
    <w:rsid w:val="00CE5027"/>
    <w:rsid w:val="00CE7B9F"/>
    <w:rsid w:val="00CF414F"/>
    <w:rsid w:val="00CF750B"/>
    <w:rsid w:val="00D0504E"/>
    <w:rsid w:val="00D05A41"/>
    <w:rsid w:val="00D06360"/>
    <w:rsid w:val="00D11B69"/>
    <w:rsid w:val="00D14CF4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5B56"/>
    <w:rsid w:val="00D561D6"/>
    <w:rsid w:val="00D6211F"/>
    <w:rsid w:val="00D67C17"/>
    <w:rsid w:val="00D744BA"/>
    <w:rsid w:val="00D76106"/>
    <w:rsid w:val="00D81B85"/>
    <w:rsid w:val="00D82883"/>
    <w:rsid w:val="00D82B31"/>
    <w:rsid w:val="00D82D91"/>
    <w:rsid w:val="00D9305B"/>
    <w:rsid w:val="00D93B52"/>
    <w:rsid w:val="00D9500E"/>
    <w:rsid w:val="00D96840"/>
    <w:rsid w:val="00DA0F44"/>
    <w:rsid w:val="00DA2F65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B8E"/>
    <w:rsid w:val="00DE2D77"/>
    <w:rsid w:val="00DE3724"/>
    <w:rsid w:val="00DE7274"/>
    <w:rsid w:val="00DF4FCD"/>
    <w:rsid w:val="00DF67F1"/>
    <w:rsid w:val="00E0377F"/>
    <w:rsid w:val="00E10573"/>
    <w:rsid w:val="00E341B0"/>
    <w:rsid w:val="00E347D1"/>
    <w:rsid w:val="00E37F8C"/>
    <w:rsid w:val="00E41782"/>
    <w:rsid w:val="00E42316"/>
    <w:rsid w:val="00E45CB2"/>
    <w:rsid w:val="00E466AF"/>
    <w:rsid w:val="00E51B56"/>
    <w:rsid w:val="00E6385B"/>
    <w:rsid w:val="00E644F2"/>
    <w:rsid w:val="00E73B8B"/>
    <w:rsid w:val="00E76A9C"/>
    <w:rsid w:val="00E85EB5"/>
    <w:rsid w:val="00E9475C"/>
    <w:rsid w:val="00E96D1A"/>
    <w:rsid w:val="00EA1D3C"/>
    <w:rsid w:val="00EA1E9B"/>
    <w:rsid w:val="00EA513F"/>
    <w:rsid w:val="00EA6E98"/>
    <w:rsid w:val="00EB2821"/>
    <w:rsid w:val="00EB39D1"/>
    <w:rsid w:val="00EB4826"/>
    <w:rsid w:val="00EB68DD"/>
    <w:rsid w:val="00EB6A44"/>
    <w:rsid w:val="00EB7F0F"/>
    <w:rsid w:val="00EC04A4"/>
    <w:rsid w:val="00EC2220"/>
    <w:rsid w:val="00EC2FAD"/>
    <w:rsid w:val="00EC37AF"/>
    <w:rsid w:val="00EC3C05"/>
    <w:rsid w:val="00ED0396"/>
    <w:rsid w:val="00ED0F03"/>
    <w:rsid w:val="00ED3D97"/>
    <w:rsid w:val="00ED6235"/>
    <w:rsid w:val="00EE2473"/>
    <w:rsid w:val="00EE57F1"/>
    <w:rsid w:val="00EF183E"/>
    <w:rsid w:val="00EF2AC0"/>
    <w:rsid w:val="00EF5090"/>
    <w:rsid w:val="00F1154E"/>
    <w:rsid w:val="00F14DB8"/>
    <w:rsid w:val="00F16BE2"/>
    <w:rsid w:val="00F2350E"/>
    <w:rsid w:val="00F26BCF"/>
    <w:rsid w:val="00F339C2"/>
    <w:rsid w:val="00F34153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50CE"/>
    <w:rsid w:val="00F6631C"/>
    <w:rsid w:val="00F70C43"/>
    <w:rsid w:val="00F71ECA"/>
    <w:rsid w:val="00F7571B"/>
    <w:rsid w:val="00F81DFF"/>
    <w:rsid w:val="00F82640"/>
    <w:rsid w:val="00F8492C"/>
    <w:rsid w:val="00F9200C"/>
    <w:rsid w:val="00F934A6"/>
    <w:rsid w:val="00FA3333"/>
    <w:rsid w:val="00FA6CB2"/>
    <w:rsid w:val="00FB50D3"/>
    <w:rsid w:val="00FC2B2A"/>
    <w:rsid w:val="00FC621D"/>
    <w:rsid w:val="00FD1E65"/>
    <w:rsid w:val="00FD1EE1"/>
    <w:rsid w:val="00FD2661"/>
    <w:rsid w:val="00FD33A7"/>
    <w:rsid w:val="00FD4601"/>
    <w:rsid w:val="00FD46F1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F749-94FB-449D-86C6-83580081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2</cp:revision>
  <cp:lastPrinted>2020-09-28T03:38:00Z</cp:lastPrinted>
  <dcterms:created xsi:type="dcterms:W3CDTF">2021-03-15T03:18:00Z</dcterms:created>
  <dcterms:modified xsi:type="dcterms:W3CDTF">2021-03-15T03:18:00Z</dcterms:modified>
</cp:coreProperties>
</file>