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2F" w:rsidRDefault="00E5102F" w:rsidP="00E5102F">
      <w:pPr>
        <w:pStyle w:val="ConsPlusNormal"/>
        <w:spacing w:line="360" w:lineRule="auto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</w:p>
    <w:p w:rsidR="00E5102F" w:rsidRDefault="00E5102F" w:rsidP="00E5102F">
      <w:pPr>
        <w:pStyle w:val="ConsPlusNormal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«16» октября 2020 года № 1093</w:t>
      </w: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E5102F" w:rsidRDefault="00E5102F" w:rsidP="00E5102F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3A161E" w:rsidRDefault="00A4718A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"</w:t>
      </w:r>
      <w:r w:rsidR="004C1A4C">
        <w:rPr>
          <w:rFonts w:ascii="Times New Roman" w:hAnsi="Times New Roman" w:cs="Times New Roman"/>
          <w:sz w:val="26"/>
          <w:szCs w:val="26"/>
        </w:rPr>
        <w:t xml:space="preserve">Благоустройство территорий Находкинского </w:t>
      </w:r>
    </w:p>
    <w:p w:rsidR="00B443D8" w:rsidRPr="00A4718A" w:rsidRDefault="004C1A4C" w:rsidP="004C1A4C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округа» на 2021 - 2024</w:t>
      </w:r>
      <w:r w:rsidR="00A424C6">
        <w:rPr>
          <w:rFonts w:ascii="Times New Roman" w:hAnsi="Times New Roman" w:cs="Times New Roman"/>
          <w:sz w:val="26"/>
          <w:szCs w:val="26"/>
        </w:rPr>
        <w:t xml:space="preserve"> </w:t>
      </w:r>
      <w:r w:rsidR="003A161E">
        <w:rPr>
          <w:rFonts w:ascii="Times New Roman" w:hAnsi="Times New Roman" w:cs="Times New Roman"/>
          <w:sz w:val="26"/>
          <w:szCs w:val="26"/>
        </w:rPr>
        <w:t>годы</w:t>
      </w:r>
    </w:p>
    <w:p w:rsidR="00A4718A" w:rsidRDefault="00A4718A" w:rsidP="00577CE3">
      <w:pPr>
        <w:pStyle w:val="ConsPlusTitle"/>
        <w:ind w:left="42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Pr="003A161E" w:rsidRDefault="00BB082B" w:rsidP="00BB082B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61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pPr w:leftFromText="180" w:rightFromText="180" w:vertAnchor="text" w:horzAnchor="margin" w:tblpX="108" w:tblpY="3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12"/>
      </w:tblGrid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</w:tcPr>
          <w:p w:rsidR="00BB082B" w:rsidRPr="004F2FB9" w:rsidRDefault="00BB082B" w:rsidP="00BB082B">
            <w:pPr>
              <w:tabs>
                <w:tab w:val="left" w:pos="281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912" w:type="dxa"/>
          </w:tcPr>
          <w:p w:rsidR="00BB082B" w:rsidRPr="004F2FB9" w:rsidRDefault="00BB082B" w:rsidP="00BB08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516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912" w:type="dxa"/>
            <w:vAlign w:val="center"/>
          </w:tcPr>
          <w:p w:rsidR="00BB082B" w:rsidRPr="00B5168D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муниципальной программы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1876F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912" w:type="dxa"/>
            <w:vAlign w:val="center"/>
            <w:hideMark/>
          </w:tcPr>
          <w:p w:rsidR="00BB082B" w:rsidRPr="001876FE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76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Pr="00930FA8" w:rsidRDefault="00BB082B" w:rsidP="00BB082B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благоприятных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комфортных условий проживания граждан на территории Находкинского городского 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6912" w:type="dxa"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содержания</w:t>
            </w:r>
            <w:r w:rsidRPr="00E466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озеленения  общественных территорий и </w:t>
            </w:r>
            <w:r w:rsidRPr="002A1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внешнего благоустройства Находкинского городского округа</w:t>
            </w:r>
          </w:p>
          <w:p w:rsidR="00BB082B" w:rsidRPr="004F2FB9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и содержание прочих объектов благоустройства Находкинского городского округа</w:t>
            </w:r>
          </w:p>
        </w:tc>
      </w:tr>
      <w:tr w:rsidR="00BB082B" w:rsidRPr="00930FA8" w:rsidTr="00BB082B">
        <w:tc>
          <w:tcPr>
            <w:tcW w:w="3119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12" w:type="dxa"/>
            <w:vAlign w:val="center"/>
          </w:tcPr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реализуется в один этап в течение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.г.</w:t>
            </w:r>
          </w:p>
          <w:p w:rsidR="00BB082B" w:rsidRPr="00930FA8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озеленением; </w:t>
            </w:r>
          </w:p>
          <w:p w:rsidR="00BB082B" w:rsidRPr="00930FA8" w:rsidRDefault="00BB082B" w:rsidP="00BB082B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BB082B" w:rsidRPr="00930FA8" w:rsidTr="00BB082B">
        <w:trPr>
          <w:trHeight w:val="2663"/>
        </w:trPr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Прогнозная оценка расходов  муниципальной программы за счет федерального бюджета, краевого  бюджета, бюджета Находкинского городского округа</w:t>
            </w:r>
          </w:p>
        </w:tc>
        <w:tc>
          <w:tcPr>
            <w:tcW w:w="6912" w:type="dxa"/>
            <w:vAlign w:val="center"/>
          </w:tcPr>
          <w:p w:rsidR="00BB082B" w:rsidRPr="00B96A5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437 500,0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BB082B" w:rsidRPr="00B96A5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Находкинского городского округа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437 500,0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годам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BB082B" w:rsidRPr="00B96A5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 w:rsidRPr="000F4B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102 000,0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B082B" w:rsidRPr="00B96A5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106 400,0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 </w:t>
            </w:r>
          </w:p>
          <w:p w:rsidR="00BB082B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111 600,0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B082B" w:rsidRPr="00B96A5E" w:rsidRDefault="00BB082B" w:rsidP="00BB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- 2024 год – 117 500,0 тыс.руб.</w:t>
            </w:r>
            <w:r w:rsidRPr="00B96A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</w:t>
            </w:r>
          </w:p>
        </w:tc>
        <w:tc>
          <w:tcPr>
            <w:tcW w:w="6912" w:type="dxa"/>
          </w:tcPr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– 64 733,72 тыс.руб., в том числе: бюджет Находкинского городского округа – 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- 64 733,72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- 64 733,72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- 64 733,72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– 0,00 тыс.руб. 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- 0,00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тыс.руб.;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– 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год - 0,00 тыс.руб. 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0,00 тыс.руб.</w:t>
            </w:r>
          </w:p>
          <w:p w:rsidR="00BB082B" w:rsidRPr="007F3835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0,00 тыс.руб.</w:t>
            </w:r>
          </w:p>
          <w:p w:rsidR="00BB082B" w:rsidRPr="0004085A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0,00 тыс.руб.</w:t>
            </w:r>
          </w:p>
        </w:tc>
      </w:tr>
      <w:tr w:rsidR="00BB082B" w:rsidRPr="00930FA8" w:rsidTr="00BB082B">
        <w:tc>
          <w:tcPr>
            <w:tcW w:w="3119" w:type="dxa"/>
            <w:vAlign w:val="center"/>
            <w:hideMark/>
          </w:tcPr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12" w:type="dxa"/>
            <w:vAlign w:val="center"/>
            <w:hideMark/>
          </w:tcPr>
          <w:p w:rsidR="00BB082B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текущим содержанием составит к 2024 г. - 100%</w:t>
            </w:r>
          </w:p>
          <w:p w:rsidR="00BB082B" w:rsidRPr="00930FA8" w:rsidRDefault="00BB082B" w:rsidP="00BB08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общественных территорий и мест общего пользования</w:t>
            </w: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Находкинского городского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обеспеченных озеленением составит к 2024 г. - 100%</w:t>
            </w:r>
          </w:p>
          <w:p w:rsidR="00BB082B" w:rsidRPr="00930FA8" w:rsidRDefault="00BB082B" w:rsidP="00BB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F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восстановленных и (или) замененных элементов благоустройства составит 447 ед. к 2024 году</w:t>
            </w:r>
          </w:p>
        </w:tc>
      </w:tr>
    </w:tbl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930FA8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3D8" w:rsidRPr="00A4718A" w:rsidRDefault="001804A7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Общая характеристика сферы реализации</w:t>
      </w:r>
    </w:p>
    <w:p w:rsidR="00B443D8" w:rsidRPr="00A4718A" w:rsidRDefault="00B443D8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D9305B" w:rsidRPr="00A4718A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Необходимость разработки муниципальной программы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="00F14DB8">
        <w:rPr>
          <w:rFonts w:ascii="Times New Roman" w:hAnsi="Times New Roman" w:cs="Times New Roman"/>
          <w:sz w:val="26"/>
          <w:szCs w:val="26"/>
        </w:rPr>
        <w:t>Благоустройство территории Находкинского городского округа</w:t>
      </w:r>
      <w:r w:rsidR="001E4F74">
        <w:rPr>
          <w:rFonts w:ascii="Times New Roman" w:hAnsi="Times New Roman" w:cs="Times New Roman"/>
          <w:sz w:val="26"/>
          <w:szCs w:val="26"/>
        </w:rPr>
        <w:t xml:space="preserve">» </w:t>
      </w:r>
      <w:r w:rsidR="00F14DB8">
        <w:rPr>
          <w:rFonts w:ascii="Times New Roman" w:hAnsi="Times New Roman" w:cs="Times New Roman"/>
          <w:sz w:val="26"/>
          <w:szCs w:val="26"/>
        </w:rPr>
        <w:t xml:space="preserve">на 2021-2024 годы </w:t>
      </w:r>
      <w:r w:rsidRPr="00A4718A">
        <w:rPr>
          <w:rFonts w:ascii="Times New Roman" w:hAnsi="Times New Roman" w:cs="Times New Roman"/>
          <w:sz w:val="26"/>
          <w:szCs w:val="26"/>
        </w:rPr>
        <w:t>(далее - Программа) обоснована социально-экономическими приоритетами развития Находкинского городского округа.</w:t>
      </w:r>
    </w:p>
    <w:p w:rsidR="00941643" w:rsidRPr="00A4718A" w:rsidRDefault="0094164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Внешний облик  Находкинского городского округа, его эстетический вид во многом зависят от степени благоустроенности территории, санитарного состояния улиц, дорог, парков, скверов, памятных мест, прогулочных зон, видовых площад</w:t>
      </w:r>
      <w:r w:rsidR="001804A7">
        <w:rPr>
          <w:rFonts w:ascii="Times New Roman" w:hAnsi="Times New Roman" w:cs="Times New Roman"/>
          <w:sz w:val="26"/>
          <w:szCs w:val="26"/>
        </w:rPr>
        <w:t>ок</w:t>
      </w:r>
      <w:r w:rsidRPr="004F2FB9">
        <w:rPr>
          <w:rFonts w:ascii="Times New Roman" w:hAnsi="Times New Roman" w:cs="Times New Roman"/>
          <w:sz w:val="26"/>
          <w:szCs w:val="26"/>
        </w:rPr>
        <w:t>, площади озеленения, количества размещенных малых архитектурных форм (скамеек, вазонов, урн).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A4718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4718A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1E4F74">
        <w:rPr>
          <w:rFonts w:ascii="Times New Roman" w:hAnsi="Times New Roman" w:cs="Times New Roman"/>
          <w:sz w:val="26"/>
          <w:szCs w:val="26"/>
        </w:rPr>
        <w:t>«</w:t>
      </w:r>
      <w:r w:rsidRPr="00A4718A">
        <w:rPr>
          <w:rFonts w:ascii="Times New Roman" w:hAnsi="Times New Roman" w:cs="Times New Roman"/>
          <w:sz w:val="26"/>
          <w:szCs w:val="26"/>
        </w:rPr>
        <w:t>Об общих принципах организаци</w:t>
      </w:r>
      <w:r w:rsidR="002C18B1" w:rsidRPr="00A4718A">
        <w:rPr>
          <w:rFonts w:ascii="Times New Roman" w:hAnsi="Times New Roman" w:cs="Times New Roman"/>
          <w:sz w:val="26"/>
          <w:szCs w:val="26"/>
        </w:rPr>
        <w:t>и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</w:t>
      </w:r>
      <w:r w:rsidR="001E4F74">
        <w:rPr>
          <w:rFonts w:ascii="Times New Roman" w:hAnsi="Times New Roman" w:cs="Times New Roman"/>
          <w:sz w:val="26"/>
          <w:szCs w:val="26"/>
        </w:rPr>
        <w:t>»</w:t>
      </w:r>
      <w:r w:rsidRPr="00A4718A">
        <w:rPr>
          <w:rFonts w:ascii="Times New Roman" w:hAnsi="Times New Roman" w:cs="Times New Roman"/>
          <w:sz w:val="26"/>
          <w:szCs w:val="26"/>
        </w:rPr>
        <w:t>, предусматривают организацию содержания муниципального жилищного фонда, организацию благоустройства и озеленение территорий городского округа, включая освещение улиц, дорог, скверов.</w:t>
      </w:r>
    </w:p>
    <w:p w:rsidR="006D589A" w:rsidRPr="004F2FB9" w:rsidRDefault="00B443D8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направлений комплекса мероприятий по созданию благоприятной и комфортной среды проживания населения является благоустройство и озеленение Находкинского городского округа. В этой сфере создаются те условия для населения, которые обеспечивают высокий уровень удобной, здоровой и комфортной жизни, как для отдельного человека, так и для всего общества в целом.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 Озелененные территории вместе с насаждениями и цветниками, пешеходными дорожками и площадками, малыми архитектурными формами и оборудованием создают образ городского округа,  выполняют рекреационные и санитарно-защитные функции.</w:t>
      </w:r>
      <w:r w:rsidR="006D589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 текущего  содержания объектов, в том числе  озеленения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обеспечить: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своевременную санитарную уборку  и порядок (выкашивание, подметание и т.д.);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квалифицированный уход за зелеными насаждениями;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систематическо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состоянием зеленых насаждений;</w:t>
      </w:r>
    </w:p>
    <w:p w:rsidR="006D589A" w:rsidRPr="004F2FB9" w:rsidRDefault="006D589A" w:rsidP="00A3727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сертифицированны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1804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</w:p>
    <w:p w:rsidR="00B443D8" w:rsidRPr="00A4718A" w:rsidRDefault="006D589A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 xml:space="preserve">Взаимосвязь указанных  видов деятельности определяется их общей целевой направленностью на повышение уровня благоустройства территории. Успешное </w:t>
      </w:r>
      <w:r w:rsidRPr="004F2FB9">
        <w:rPr>
          <w:rFonts w:ascii="Times New Roman" w:hAnsi="Times New Roman" w:cs="Times New Roman"/>
          <w:sz w:val="26"/>
          <w:szCs w:val="26"/>
        </w:rPr>
        <w:lastRenderedPageBreak/>
        <w:t>выполнение задач по содержанию, уборке и озеленению территории, вывозу бытовых отходов,  позволяет улучшить условия жизни населения и повысить привлекательность города, как для проживания, так и для проведения хозяйственной деятельности, развертывания частной инициативы и т.п. Тем самым, создаются необходимые условия для развития других систем жизнеобеспечения населения города в целом.</w:t>
      </w:r>
    </w:p>
    <w:p w:rsidR="00242665" w:rsidRPr="00A4718A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201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F14D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решены проблемы мест отдыха горожан, созданы </w:t>
      </w:r>
      <w:r w:rsidR="00141E54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пешеходные и прогулочные зоны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на территории Находкинского городского округа 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расположено 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2E663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наиболее посещаемых объектов благоустройства (скверов, </w:t>
      </w:r>
      <w:r w:rsidR="00053F6B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видовых площадок, 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памятных мест, прогулочных зон), требующих ежедневного содержания для поддержания их  в нормативном санитарном состоянии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отвечающем требованиям нормативн</w:t>
      </w:r>
      <w:r w:rsidR="00617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="002C18B1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актов.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Несмотря на то, что</w:t>
      </w:r>
      <w:r w:rsidR="00941643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последние годы  проводилась целенаправленная работа по благоустройству и озеленению территории общего пользования Находкинского городского округа, проблема текущего содержания и озеленения остается актуальной и на сегодняшний день</w:t>
      </w:r>
      <w:r w:rsidR="00941643" w:rsidRPr="004F2FB9">
        <w:rPr>
          <w:rFonts w:ascii="Calibri" w:eastAsia="Times New Roman" w:hAnsi="Calibri" w:cs="Calibri"/>
          <w:sz w:val="26"/>
          <w:szCs w:val="26"/>
          <w:lang w:eastAsia="ru-RU"/>
        </w:rPr>
        <w:t>.</w:t>
      </w:r>
    </w:p>
    <w:p w:rsidR="00242665" w:rsidRDefault="00242665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Вследстви</w:t>
      </w:r>
      <w:r w:rsidR="00F52C73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износа малых архитектурных форм и вандальных действий граждан, которые приводят в негодность  элементы благоустройства (скамейки, урны), необходимо производить их замену для создания комфортных условий</w:t>
      </w:r>
      <w:r w:rsidR="0079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проживания</w:t>
      </w:r>
      <w:r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горожан. </w:t>
      </w:r>
    </w:p>
    <w:p w:rsidR="00941643" w:rsidRDefault="00941643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обследования выявлены  проблемы технического состояния лестниц,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пешеходных зон, 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 на территориях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предназначенных для пешеходного сообщения граждан, которые имеют высокую степень износа.</w:t>
      </w:r>
    </w:p>
    <w:p w:rsidR="00CD49D2" w:rsidRDefault="00CD49D2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ремонт с течением времени требуется также на выявленных объектах культурного наследия местного</w:t>
      </w:r>
      <w:r w:rsidR="004D7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значения.</w:t>
      </w:r>
    </w:p>
    <w:p w:rsidR="001E4F74" w:rsidRDefault="00677166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необходимо проводить т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ехническое обслуживание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поставку газа для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групповой рез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ервуарной установки (ГРУ) № 725, предназначенн</w:t>
      </w:r>
      <w:r w:rsidR="007F465C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для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непрерывного функционирования </w:t>
      </w:r>
      <w:r w:rsidR="00CD49D2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памятника «Вечный огонь», расположенного на территории 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значимого для жителей города мест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D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Памятнике Победы в Великой Отечественной войне 1941-1945 гг.</w:t>
      </w:r>
    </w:p>
    <w:p w:rsidR="00620A1A" w:rsidRPr="00A4718A" w:rsidRDefault="00620A1A" w:rsidP="00A372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праздникам необходимо обеспечивать оформление мест уличных гуляний и территорий общего пользования тематическими элементами, инсталляциями и иллюминицией.</w:t>
      </w:r>
    </w:p>
    <w:p w:rsidR="00B443D8" w:rsidRPr="00A4718A" w:rsidRDefault="00B443D8" w:rsidP="00A37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метода, </w:t>
      </w:r>
      <w:r w:rsidRPr="00A4718A">
        <w:rPr>
          <w:rFonts w:ascii="Times New Roman" w:hAnsi="Times New Roman" w:cs="Times New Roman"/>
          <w:sz w:val="26"/>
          <w:szCs w:val="26"/>
        </w:rPr>
        <w:lastRenderedPageBreak/>
        <w:t>который обеспечивает единство четко структурированной и сформулированной содержательной части Программы с созданием и использованием финансовых и организационных механизмов ее реализации, а также контролем за промежуточными и конечными результатами выполнения Программы. Использование программно-целевого метода позволит: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- </w:t>
      </w:r>
      <w:r w:rsidR="001804A7">
        <w:rPr>
          <w:rFonts w:ascii="Times New Roman" w:hAnsi="Times New Roman" w:cs="Times New Roman"/>
          <w:sz w:val="26"/>
          <w:szCs w:val="26"/>
        </w:rPr>
        <w:t>исключить</w:t>
      </w:r>
      <w:r w:rsidRPr="00A4718A">
        <w:rPr>
          <w:rFonts w:ascii="Times New Roman" w:hAnsi="Times New Roman" w:cs="Times New Roman"/>
          <w:sz w:val="26"/>
          <w:szCs w:val="26"/>
        </w:rPr>
        <w:t xml:space="preserve"> риски нецелевого использования бюджетных средств;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сконцентрировать все организационные и финансовые ресурсы на решение первоочередных задач.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Одним из внешних рисков при использовании программно-целевого метода может стать риск сокращения бюджетного финансирования, направленного на выполнение Программы.</w:t>
      </w:r>
      <w:r w:rsidR="0092107E" w:rsidRPr="00A4718A">
        <w:t xml:space="preserve"> </w:t>
      </w:r>
      <w:r w:rsidR="0092107E" w:rsidRPr="00A4718A">
        <w:rPr>
          <w:rFonts w:ascii="Times New Roman" w:hAnsi="Times New Roman" w:cs="Times New Roman"/>
          <w:sz w:val="26"/>
          <w:szCs w:val="26"/>
        </w:rPr>
        <w:t>В случае недостаточного финансирования мероприятий Программы, предусматривается возможность внесения изменений в Программу с корректировкой  ее показателей, а также перераспределение объемов финансирования с определением первоочередных, приоритетных мероприятий.</w:t>
      </w:r>
      <w:r w:rsidR="00941643" w:rsidRPr="00941643">
        <w:rPr>
          <w:rFonts w:ascii="Times New Roman" w:hAnsi="Times New Roman" w:cs="Times New Roman"/>
          <w:sz w:val="26"/>
          <w:szCs w:val="26"/>
        </w:rPr>
        <w:t xml:space="preserve"> </w:t>
      </w:r>
      <w:r w:rsidR="00941643" w:rsidRPr="004F2FB9">
        <w:rPr>
          <w:rFonts w:ascii="Times New Roman" w:hAnsi="Times New Roman" w:cs="Times New Roman"/>
          <w:sz w:val="26"/>
          <w:szCs w:val="26"/>
        </w:rPr>
        <w:t xml:space="preserve">Минимизация влияния указанных рисков на реализацию муниципальной </w:t>
      </w:r>
      <w:r w:rsidR="00411E68">
        <w:rPr>
          <w:rFonts w:ascii="Times New Roman" w:hAnsi="Times New Roman" w:cs="Times New Roman"/>
          <w:sz w:val="26"/>
          <w:szCs w:val="26"/>
        </w:rPr>
        <w:t>П</w:t>
      </w:r>
      <w:r w:rsidR="00941643" w:rsidRPr="004F2FB9">
        <w:rPr>
          <w:rFonts w:ascii="Times New Roman" w:hAnsi="Times New Roman" w:cs="Times New Roman"/>
          <w:sz w:val="26"/>
          <w:szCs w:val="26"/>
        </w:rPr>
        <w:t>рограммы потребует формирования и поддержания в актуальном состоянии процессов планирования, исполнения, мониторинга, контроля и ресурсного обеспечения программной деятельности в сфере благоустройства и озеленения территории города.</w:t>
      </w:r>
    </w:p>
    <w:p w:rsidR="003352CD" w:rsidRPr="00A4718A" w:rsidRDefault="003352CD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3D8" w:rsidRPr="00A4718A">
        <w:rPr>
          <w:rFonts w:ascii="Times New Roman" w:hAnsi="Times New Roman" w:cs="Times New Roman"/>
          <w:sz w:val="26"/>
          <w:szCs w:val="26"/>
        </w:rPr>
        <w:t>. Сроки и этапы реализации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Все работы, предусмотренные Программой, планируется провести в один этап в течение 20</w:t>
      </w:r>
      <w:r w:rsidR="00F14DB8">
        <w:rPr>
          <w:rFonts w:ascii="Times New Roman" w:hAnsi="Times New Roman" w:cs="Times New Roman"/>
          <w:sz w:val="26"/>
          <w:szCs w:val="26"/>
        </w:rPr>
        <w:t>21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- 20</w:t>
      </w:r>
      <w:r w:rsidR="00B53C06" w:rsidRPr="00A4718A">
        <w:rPr>
          <w:rFonts w:ascii="Times New Roman" w:hAnsi="Times New Roman" w:cs="Times New Roman"/>
          <w:sz w:val="26"/>
          <w:szCs w:val="26"/>
        </w:rPr>
        <w:t>2</w:t>
      </w:r>
      <w:r w:rsidR="00F14DB8">
        <w:rPr>
          <w:rFonts w:ascii="Times New Roman" w:hAnsi="Times New Roman" w:cs="Times New Roman"/>
          <w:sz w:val="26"/>
          <w:szCs w:val="26"/>
        </w:rPr>
        <w:t>4</w:t>
      </w:r>
      <w:r w:rsidRPr="00A4718A">
        <w:rPr>
          <w:rFonts w:ascii="Times New Roman" w:hAnsi="Times New Roman" w:cs="Times New Roman"/>
          <w:sz w:val="26"/>
          <w:szCs w:val="26"/>
        </w:rPr>
        <w:t xml:space="preserve"> год</w:t>
      </w:r>
      <w:r w:rsidR="00B53C06" w:rsidRPr="00A4718A">
        <w:rPr>
          <w:rFonts w:ascii="Times New Roman" w:hAnsi="Times New Roman" w:cs="Times New Roman"/>
          <w:sz w:val="26"/>
          <w:szCs w:val="26"/>
        </w:rPr>
        <w:t>ов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7F3835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804A7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. Целевые 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 показатели (</w:t>
      </w:r>
      <w:r w:rsidR="00B443D8" w:rsidRPr="00A4718A">
        <w:rPr>
          <w:rFonts w:ascii="Times New Roman" w:hAnsi="Times New Roman" w:cs="Times New Roman"/>
          <w:sz w:val="26"/>
          <w:szCs w:val="26"/>
        </w:rPr>
        <w:t>индикаторы</w:t>
      </w:r>
      <w:r w:rsidR="00D9305B" w:rsidRPr="00A4718A">
        <w:rPr>
          <w:rFonts w:ascii="Times New Roman" w:hAnsi="Times New Roman" w:cs="Times New Roman"/>
          <w:sz w:val="26"/>
          <w:szCs w:val="26"/>
        </w:rPr>
        <w:t xml:space="preserve">) с расшифровкой </w:t>
      </w:r>
    </w:p>
    <w:p w:rsidR="00B443D8" w:rsidRDefault="00D9305B" w:rsidP="00A3727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плановых значений по годам и  этапам ее реализации.</w:t>
      </w:r>
    </w:p>
    <w:p w:rsidR="00182ADE" w:rsidRPr="00A4718A" w:rsidRDefault="00182AD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EC37AF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ее реализации представлены 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54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A62AB9" w:rsidRPr="00A4718A">
          <w:rPr>
            <w:rFonts w:ascii="Times New Roman" w:hAnsi="Times New Roman" w:cs="Times New Roman"/>
            <w:sz w:val="26"/>
            <w:szCs w:val="26"/>
          </w:rPr>
          <w:t>№</w:t>
        </w:r>
        <w:r w:rsidR="00B443D8" w:rsidRPr="00A4718A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8C30C5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CE7B9F" w:rsidRPr="00A4718A">
        <w:rPr>
          <w:rFonts w:ascii="Times New Roman" w:hAnsi="Times New Roman" w:cs="Times New Roman"/>
          <w:sz w:val="26"/>
          <w:szCs w:val="26"/>
        </w:rPr>
        <w:t>к П</w:t>
      </w:r>
      <w:r w:rsidR="008C30C5"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CE7B9F" w:rsidRPr="00A4718A">
        <w:rPr>
          <w:rFonts w:ascii="Times New Roman" w:hAnsi="Times New Roman" w:cs="Times New Roman"/>
          <w:sz w:val="26"/>
          <w:szCs w:val="26"/>
        </w:rPr>
        <w:t>е</w:t>
      </w:r>
      <w:r w:rsidR="00B443D8" w:rsidRPr="00A4718A">
        <w:rPr>
          <w:rFonts w:ascii="Times New Roman" w:hAnsi="Times New Roman" w:cs="Times New Roman"/>
          <w:sz w:val="26"/>
          <w:szCs w:val="26"/>
        </w:rPr>
        <w:t>.</w:t>
      </w:r>
    </w:p>
    <w:p w:rsidR="00BB082B" w:rsidRDefault="00BB082B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82B" w:rsidRDefault="00BB082B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643" w:rsidRDefault="00941643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Методика расчета целевых показателей (индикаторов) муниципальной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A37271" w:rsidRPr="004F2FB9" w:rsidRDefault="00A37271" w:rsidP="00A3727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402"/>
        <w:gridCol w:w="3119"/>
        <w:gridCol w:w="2410"/>
      </w:tblGrid>
      <w:tr w:rsidR="00941643" w:rsidRPr="004F2FB9" w:rsidTr="00A37271">
        <w:trPr>
          <w:trHeight w:val="642"/>
        </w:trPr>
        <w:tc>
          <w:tcPr>
            <w:tcW w:w="85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</w:t>
            </w:r>
          </w:p>
          <w:p w:rsidR="00941643" w:rsidRPr="004F2FB9" w:rsidRDefault="00941643" w:rsidP="00A37271">
            <w:pPr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 (индикатора)</w:t>
            </w:r>
          </w:p>
        </w:tc>
        <w:tc>
          <w:tcPr>
            <w:tcW w:w="3119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расчета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</w:tr>
      <w:tr w:rsidR="00941643" w:rsidRPr="004F2FB9" w:rsidTr="00A37271">
        <w:trPr>
          <w:trHeight w:val="245"/>
        </w:trPr>
        <w:tc>
          <w:tcPr>
            <w:tcW w:w="850" w:type="dxa"/>
            <w:vAlign w:val="center"/>
          </w:tcPr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1643" w:rsidRPr="004F2FB9" w:rsidRDefault="00941643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</w:tcPr>
          <w:p w:rsidR="00677166" w:rsidRPr="008917E8" w:rsidRDefault="00861C94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общественных территорий и мест общего пользования Находкинского городского округа, обеспеченных текущим содержанием,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119" w:type="dxa"/>
          </w:tcPr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941643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обеспеченных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текущим </w:t>
            </w: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содержанием</w:t>
            </w:r>
          </w:p>
          <w:p w:rsidR="00886E7B" w:rsidRPr="001D1CB2" w:rsidRDefault="00941643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861C94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аходкинского городского округа</w:t>
            </w:r>
          </w:p>
        </w:tc>
        <w:tc>
          <w:tcPr>
            <w:tcW w:w="2410" w:type="dxa"/>
          </w:tcPr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941643" w:rsidRPr="004F2FB9" w:rsidRDefault="00941643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A37271">
        <w:trPr>
          <w:trHeight w:val="1411"/>
        </w:trPr>
        <w:tc>
          <w:tcPr>
            <w:tcW w:w="850" w:type="dxa"/>
            <w:vAlign w:val="center"/>
          </w:tcPr>
          <w:p w:rsidR="00067740" w:rsidRPr="004F2FB9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3119" w:type="dxa"/>
          </w:tcPr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(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: 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х 100%, где:</w:t>
            </w:r>
          </w:p>
          <w:p w:rsidR="00067740" w:rsidRPr="002E0E5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обеспеченных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озеленением</w:t>
            </w:r>
          </w:p>
          <w:p w:rsidR="00067740" w:rsidRPr="004F2FB9" w:rsidRDefault="00067740" w:rsidP="00A37271">
            <w:pPr>
              <w:tabs>
                <w:tab w:val="left" w:pos="795"/>
                <w:tab w:val="center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Р2– количество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 территорий и мест общего пользования</w:t>
            </w:r>
            <w:r w:rsidR="00886E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1CB2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F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единой информационной системы в сфере закупок, форма КС-2</w:t>
            </w:r>
          </w:p>
          <w:p w:rsidR="00067740" w:rsidRPr="004F2FB9" w:rsidRDefault="00067740" w:rsidP="00A37271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7740" w:rsidRPr="004F2FB9" w:rsidTr="00A37271">
        <w:trPr>
          <w:trHeight w:val="1411"/>
        </w:trPr>
        <w:tc>
          <w:tcPr>
            <w:tcW w:w="850" w:type="dxa"/>
            <w:vAlign w:val="center"/>
          </w:tcPr>
          <w:p w:rsidR="00067740" w:rsidRDefault="00067740" w:rsidP="00A372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02" w:type="dxa"/>
          </w:tcPr>
          <w:p w:rsidR="00067740" w:rsidRPr="004F2FB9" w:rsidRDefault="002E0E59" w:rsidP="00A37271">
            <w:pPr>
              <w:suppressAutoHyphens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</w:t>
            </w:r>
          </w:p>
        </w:tc>
        <w:tc>
          <w:tcPr>
            <w:tcW w:w="3119" w:type="dxa"/>
          </w:tcPr>
          <w:p w:rsidR="00067740" w:rsidRPr="004F2FB9" w:rsidRDefault="00067740" w:rsidP="00A37271">
            <w:pPr>
              <w:tabs>
                <w:tab w:val="left" w:pos="840"/>
                <w:tab w:val="center" w:pos="138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путем подсчета количества восстановленных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замененных элементов благоустройства </w:t>
            </w:r>
            <w:r w:rsidR="00886E7B" w:rsidRPr="001D1C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год</w:t>
            </w:r>
          </w:p>
        </w:tc>
        <w:tc>
          <w:tcPr>
            <w:tcW w:w="2410" w:type="dxa"/>
          </w:tcPr>
          <w:p w:rsidR="00067740" w:rsidRPr="004F2FB9" w:rsidRDefault="00067740" w:rsidP="00A3727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14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Официальный сайт единой информационной системы в сфере </w:t>
            </w:r>
            <w:r w:rsidR="002E0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закупок</w:t>
            </w:r>
          </w:p>
        </w:tc>
      </w:tr>
    </w:tbl>
    <w:p w:rsidR="007F3835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271" w:rsidRDefault="00A37271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271" w:rsidRDefault="00A37271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271" w:rsidRDefault="00A37271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271" w:rsidRDefault="00A37271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37271" w:rsidRDefault="00A37271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Default="001804A7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Механизм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Ответственный исполнитель Программы – управление благоустройства администрации Находкинского городского округа: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ее согласование и утверждение в установленном порядке;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ежеквартально осуществляет мониторинг реализации муниципальной программы;</w:t>
      </w:r>
    </w:p>
    <w:p w:rsidR="00A70C11" w:rsidRPr="00A4718A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отчет), итоговый отчет за весь период реализации муниципальной программы (далее -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0C11" w:rsidRDefault="00A70C11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размещает годовые (итоговые) отчеты по муниципальной программе на официальном сайте Находкинского городского округа в информационно-теле</w:t>
      </w:r>
      <w:r>
        <w:rPr>
          <w:rFonts w:ascii="Times New Roman" w:hAnsi="Times New Roman" w:cs="Times New Roman"/>
          <w:sz w:val="26"/>
          <w:szCs w:val="26"/>
        </w:rPr>
        <w:t>коммуникационной сети Интернет.</w:t>
      </w:r>
    </w:p>
    <w:p w:rsidR="00886E7B" w:rsidRDefault="00886E7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</w:t>
      </w:r>
      <w:r w:rsidR="00C67730">
        <w:rPr>
          <w:rFonts w:ascii="Times New Roman" w:hAnsi="Times New Roman" w:cs="Times New Roman"/>
          <w:sz w:val="26"/>
          <w:szCs w:val="26"/>
        </w:rPr>
        <w:t xml:space="preserve"> (</w:t>
      </w:r>
      <w:r w:rsidR="00C67730" w:rsidRPr="004F2FB9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C67730" w:rsidRPr="00C67730">
        <w:rPr>
          <w:rFonts w:ascii="Times New Roman" w:hAnsi="Times New Roman" w:cs="Times New Roman"/>
          <w:sz w:val="26"/>
          <w:szCs w:val="26"/>
        </w:rPr>
        <w:t>№№5-7</w:t>
      </w:r>
      <w:r w:rsidR="00C67730">
        <w:rPr>
          <w:rFonts w:ascii="Times New Roman" w:hAnsi="Times New Roman" w:cs="Times New Roman"/>
          <w:sz w:val="26"/>
          <w:szCs w:val="26"/>
        </w:rPr>
        <w:t xml:space="preserve"> </w:t>
      </w:r>
      <w:r w:rsidR="00C67730" w:rsidRPr="004F2FB9">
        <w:rPr>
          <w:rFonts w:ascii="Times New Roman" w:hAnsi="Times New Roman" w:cs="Times New Roman"/>
          <w:sz w:val="26"/>
          <w:szCs w:val="26"/>
        </w:rPr>
        <w:t>программ</w:t>
      </w:r>
      <w:r w:rsidR="00C67730">
        <w:rPr>
          <w:rFonts w:ascii="Times New Roman" w:hAnsi="Times New Roman" w:cs="Times New Roman"/>
          <w:sz w:val="26"/>
          <w:szCs w:val="26"/>
        </w:rPr>
        <w:t>ы)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0C11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екущее содержание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территорий и 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 общего пользования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расположенных на территории Находкинского городского округа включает в себя: очистку газонов и пешеходных дорожек от случайного мусора; подметание пешеходных дорожек с погрузкой мусора на автотранспорт и вывозом его на полигон Т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О;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газонов от сухих листьев, сучьев и травы под грабли,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урн от мусора;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выкашивание зеленых зон  со сбором и вывозом выкошенной травы;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леерных ограждений и мраморных лестниц; 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 дорожек от снега и наледи</w:t>
      </w:r>
      <w:r w:rsidR="00AD1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и выполнение текущего ремонта </w:t>
      </w:r>
      <w:r w:rsidR="003A27C6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 w:rsidR="00A70C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валку аварийных деревьев и санитарную обрезку деревьев.</w:t>
      </w:r>
    </w:p>
    <w:p w:rsidR="00242665" w:rsidRDefault="00A70C1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газа и техобслуживание групповой резервуарной установки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(ГРУ 725), включает в себя: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обход, осмотр и 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трассы подземного  уличного газопровода,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регуляторов давления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герметичности газопровода, состояние изоляционного покрытия подземных (уличных) газопроводов, манометров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газогорелочного устройства, газового колодца  от грязи, копоти, посторонних предметов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полировк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бронзовой плиты основания горелки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42665" w:rsidRPr="00A4718A" w:rsidRDefault="003328D6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зеленение скверов </w:t>
      </w:r>
      <w:r w:rsidR="003C0CB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видовых площадок, памятных мест и прогулочных зон</w:t>
      </w:r>
      <w:r w:rsidR="0092107E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 себя: подготовк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почвы,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летников и уходные работы (прополка, рыхление, полив, уборка отцветших растений);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тюльпанов и уходные работы (прополка, рыхление, полив, уборка отцветших растений);  уходные работы (прополка, рыхление, формовочная обрезка) за декоративным кустарником, высаженным на территориях общего пользования; посадк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кустарников и деревьев; устройство газона; изготовление и установк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объемных цветочных фигур; выкашивание газонов; устройство новых цветников; формовочн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обрезк</w:t>
      </w:r>
      <w:r w:rsidR="00182A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665" w:rsidRPr="00A47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деревьев и кустарников; удаление аварийных и (или) естественно усохших деревьев.</w:t>
      </w:r>
    </w:p>
    <w:p w:rsidR="00F71EC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емонт лестниц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расположенных на территории общего пользования Находкинского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заключается в проведении 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 монтаж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лестничных маршей с устройством щебеночного основания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ремонте поверхности лестничных пролетов, выполнении 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71ECA" w:rsidRPr="004F2F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леерного ограждения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ремонт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прогулочных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путем восстановления брусчатого (или иного) покрытия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3B52" w:rsidRPr="00A4718A" w:rsidRDefault="003C0CB0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и выполнение текущего ремонта </w:t>
      </w:r>
      <w:r w:rsidR="00D93B52" w:rsidRPr="00B5168D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выявленных объектов культурного наследия мес</w:t>
      </w:r>
      <w:r w:rsidR="00D93B52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тного (муниципального)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путем обеспечения эстетичного их вида с исправными и целостными элементами (покрытием, малыми архитектурными формами, декоративными элементами</w:t>
      </w:r>
      <w:r w:rsidR="00B725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надписями и пр.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2665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</w:t>
      </w:r>
      <w:r w:rsidR="00F71EC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A2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416517" w:rsidRPr="00A4718A">
        <w:rPr>
          <w:rFonts w:ascii="Times New Roman" w:hAnsi="Times New Roman" w:cs="Times New Roman"/>
          <w:sz w:val="26"/>
          <w:szCs w:val="26"/>
        </w:rPr>
        <w:t>акупк</w:t>
      </w:r>
      <w:r w:rsidR="003A27C6">
        <w:rPr>
          <w:rFonts w:ascii="Times New Roman" w:hAnsi="Times New Roman" w:cs="Times New Roman"/>
          <w:sz w:val="26"/>
          <w:szCs w:val="26"/>
        </w:rPr>
        <w:t>и</w:t>
      </w:r>
      <w:r w:rsidR="00416517" w:rsidRPr="00A4718A">
        <w:rPr>
          <w:rFonts w:ascii="Times New Roman" w:hAnsi="Times New Roman" w:cs="Times New Roman"/>
          <w:sz w:val="26"/>
          <w:szCs w:val="26"/>
        </w:rPr>
        <w:t xml:space="preserve"> и установка  скамеек, урн и мусорных контейнеров на территории общего пользования Находкинского городского округа</w:t>
      </w:r>
      <w:r w:rsidR="001E4F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76FE" w:rsidRPr="00A4718A" w:rsidRDefault="00B725E1" w:rsidP="00A3727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раздничное оформление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1876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установки иллюминации, флагов, прочих конструкций </w:t>
      </w:r>
      <w:r w:rsidR="003F31F5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(инсталляции, новогодние ёлки и пр.)</w:t>
      </w:r>
      <w:r w:rsidR="002A20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7A38" w:rsidRDefault="00B33BCB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FB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осуществляется посредством размещения заказов на поставки товаров, выполнение работ, оказание услуг для государственных и муниципальных нужд в порядке, предусмотренном действующим законодательством РФ о контрактной системе в сфере закупок товаров, работ, услуг для обеспечения государственных и муниципальных нужд.</w:t>
      </w:r>
    </w:p>
    <w:p w:rsidR="007F3835" w:rsidRDefault="007F3835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Default="00BB082B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Default="00BB082B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B082B" w:rsidRDefault="00BB082B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4F74" w:rsidRDefault="007F3835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B47A38" w:rsidRPr="00A4718A">
        <w:rPr>
          <w:rFonts w:ascii="Times New Roman" w:hAnsi="Times New Roman" w:cs="Times New Roman"/>
          <w:sz w:val="26"/>
          <w:szCs w:val="26"/>
        </w:rPr>
        <w:t xml:space="preserve">. Прогнозная оценка расходов муниципальной </w:t>
      </w: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программы Находкинского городского округа</w:t>
      </w:r>
    </w:p>
    <w:p w:rsidR="000B5F2E" w:rsidRDefault="000B5F2E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7A38" w:rsidRDefault="00B47A38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Прогнозная оценка  муниципальной програм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мы </w:t>
      </w:r>
      <w:r w:rsidR="001804A7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6407FD" w:rsidRPr="00AB5940">
        <w:rPr>
          <w:rFonts w:ascii="Times New Roman" w:hAnsi="Times New Roman" w:cs="Times New Roman"/>
          <w:sz w:val="26"/>
          <w:szCs w:val="26"/>
        </w:rPr>
        <w:t>в приложение</w:t>
      </w:r>
      <w:r w:rsidR="006407FD" w:rsidRPr="00A4718A">
        <w:rPr>
          <w:rFonts w:ascii="Times New Roman" w:hAnsi="Times New Roman" w:cs="Times New Roman"/>
          <w:sz w:val="26"/>
          <w:szCs w:val="26"/>
        </w:rPr>
        <w:t xml:space="preserve"> № </w:t>
      </w:r>
      <w:r w:rsidR="00AB5940">
        <w:rPr>
          <w:rFonts w:ascii="Times New Roman" w:hAnsi="Times New Roman" w:cs="Times New Roman"/>
          <w:sz w:val="26"/>
          <w:szCs w:val="26"/>
        </w:rPr>
        <w:t>2</w:t>
      </w:r>
      <w:r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</w:t>
      </w:r>
      <w:r w:rsidRPr="00A4718A">
        <w:rPr>
          <w:rFonts w:ascii="Times New Roman" w:hAnsi="Times New Roman" w:cs="Times New Roman"/>
          <w:sz w:val="26"/>
          <w:szCs w:val="26"/>
        </w:rPr>
        <w:t>рограмм</w:t>
      </w:r>
      <w:r w:rsidR="001E4F74">
        <w:rPr>
          <w:rFonts w:ascii="Times New Roman" w:hAnsi="Times New Roman" w:cs="Times New Roman"/>
          <w:sz w:val="26"/>
          <w:szCs w:val="26"/>
        </w:rPr>
        <w:t>е</w:t>
      </w:r>
      <w:r w:rsidR="00B11D50"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Pr="00A4718A" w:rsidRDefault="001D1CB2" w:rsidP="00A37271">
      <w:pPr>
        <w:pStyle w:val="ConsPlusNormal"/>
        <w:tabs>
          <w:tab w:val="left" w:pos="3832"/>
          <w:tab w:val="center" w:pos="5741"/>
        </w:tabs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443D8" w:rsidRPr="00A4718A">
        <w:rPr>
          <w:rFonts w:ascii="Times New Roman" w:hAnsi="Times New Roman" w:cs="Times New Roman"/>
          <w:sz w:val="26"/>
          <w:szCs w:val="26"/>
        </w:rPr>
        <w:t>. Ресурсное обеспечение реализации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муниципальной программы Находкинского городского округа</w:t>
      </w:r>
    </w:p>
    <w:p w:rsidR="00BE2ACE" w:rsidRPr="00A4718A" w:rsidRDefault="00BE2AC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11D50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 Ресурсное обеспечение  реализации муниципальной программы  за счет средств бюджета Находкинского городского округа с расшифровкой по кодам  бюджетной классификации  представлен</w:t>
      </w:r>
      <w:r w:rsidR="00983317">
        <w:rPr>
          <w:rFonts w:ascii="Times New Roman" w:hAnsi="Times New Roman" w:cs="Times New Roman"/>
          <w:sz w:val="26"/>
          <w:szCs w:val="26"/>
        </w:rPr>
        <w:t>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в приложение № </w:t>
      </w:r>
      <w:r w:rsidR="00AB5940">
        <w:rPr>
          <w:rFonts w:ascii="Times New Roman" w:hAnsi="Times New Roman" w:cs="Times New Roman"/>
          <w:sz w:val="26"/>
          <w:szCs w:val="26"/>
        </w:rPr>
        <w:t>3</w:t>
      </w:r>
      <w:r w:rsidR="00A05764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1E4F74">
        <w:rPr>
          <w:rFonts w:ascii="Times New Roman" w:hAnsi="Times New Roman" w:cs="Times New Roman"/>
          <w:sz w:val="26"/>
          <w:szCs w:val="26"/>
        </w:rPr>
        <w:t>к Программе</w:t>
      </w:r>
      <w:r w:rsidRPr="00A4718A">
        <w:rPr>
          <w:rFonts w:ascii="Times New Roman" w:hAnsi="Times New Roman" w:cs="Times New Roman"/>
          <w:sz w:val="26"/>
          <w:szCs w:val="26"/>
        </w:rPr>
        <w:t>.</w:t>
      </w:r>
    </w:p>
    <w:p w:rsidR="001D1CB2" w:rsidRDefault="001D1CB2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45"/>
      <w:bookmarkEnd w:id="0"/>
    </w:p>
    <w:p w:rsidR="00B443D8" w:rsidRPr="00A4718A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443D8" w:rsidRPr="00A4718A">
        <w:rPr>
          <w:rFonts w:ascii="Times New Roman" w:hAnsi="Times New Roman" w:cs="Times New Roman"/>
          <w:sz w:val="26"/>
          <w:szCs w:val="26"/>
        </w:rPr>
        <w:t>. Методика оценки эффективности муниципальной программы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 Оценка эффективности реализации муниц</w:t>
      </w:r>
      <w:r w:rsidR="00911C7B">
        <w:rPr>
          <w:rFonts w:ascii="Times New Roman" w:hAnsi="Times New Roman" w:cs="Times New Roman"/>
          <w:sz w:val="26"/>
          <w:szCs w:val="26"/>
        </w:rPr>
        <w:t xml:space="preserve">ипальной программы </w:t>
      </w:r>
      <w:r w:rsidR="00B443D8" w:rsidRPr="00A4718A">
        <w:rPr>
          <w:rFonts w:ascii="Times New Roman" w:hAnsi="Times New Roman" w:cs="Times New Roman"/>
          <w:sz w:val="26"/>
          <w:szCs w:val="26"/>
        </w:rPr>
        <w:t>проводится на основе оценок по трем критериям: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- степени реализации мероприятий муниципальной программы.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1.1. Оценка степени достижения целей и решения задач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</w:t>
      </w:r>
      <w:r w:rsidR="001804A7"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</w:t>
      </w:r>
      <w:r w:rsidR="00F71ECA">
        <w:rPr>
          <w:rFonts w:ascii="Times New Roman" w:hAnsi="Times New Roman" w:cs="Times New Roman"/>
          <w:sz w:val="26"/>
          <w:szCs w:val="26"/>
        </w:rPr>
        <w:t xml:space="preserve"> задачи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, рассчитывается по следующим формулам: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0B0DC409" wp14:editId="2A265461">
            <wp:extent cx="854710" cy="524510"/>
            <wp:effectExtent l="0" t="0" r="2540" b="889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90618_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lastRenderedPageBreak/>
        <w:t>Iц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целевого </w:t>
      </w:r>
      <w:r w:rsidRPr="00A4718A">
        <w:rPr>
          <w:rFonts w:ascii="Times New Roman" w:hAnsi="Times New Roman" w:cs="Times New Roman"/>
          <w:sz w:val="26"/>
          <w:szCs w:val="26"/>
        </w:rPr>
        <w:t>показателя (индикатора), характеризующего цели и задачи муниципальной программы (подпрограммы);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Iцiфакт - фактическое значение i-го индикатора (показателя)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Iцiплан - плановое значение i-го </w:t>
      </w:r>
      <w:r w:rsidR="001804A7">
        <w:rPr>
          <w:rFonts w:ascii="Times New Roman" w:hAnsi="Times New Roman" w:cs="Times New Roman"/>
          <w:sz w:val="26"/>
          <w:szCs w:val="26"/>
        </w:rPr>
        <w:t>целевого показателя (</w:t>
      </w:r>
      <w:r w:rsidRPr="00A4718A">
        <w:rPr>
          <w:rFonts w:ascii="Times New Roman" w:hAnsi="Times New Roman" w:cs="Times New Roman"/>
          <w:sz w:val="26"/>
          <w:szCs w:val="26"/>
        </w:rPr>
        <w:t>индикатора</w:t>
      </w:r>
      <w:r w:rsidR="001804A7">
        <w:rPr>
          <w:rFonts w:ascii="Times New Roman" w:hAnsi="Times New Roman" w:cs="Times New Roman"/>
          <w:sz w:val="26"/>
          <w:szCs w:val="26"/>
        </w:rPr>
        <w:t xml:space="preserve">) муниципальной программы </w:t>
      </w: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 xml:space="preserve">целевых </w:t>
      </w:r>
      <w:r w:rsidRPr="00A4718A">
        <w:rPr>
          <w:rFonts w:ascii="Times New Roman" w:hAnsi="Times New Roman" w:cs="Times New Roman"/>
          <w:sz w:val="26"/>
          <w:szCs w:val="26"/>
        </w:rPr>
        <w:t>показателей</w:t>
      </w:r>
      <w:r w:rsidR="001804A7">
        <w:rPr>
          <w:rFonts w:ascii="Times New Roman" w:hAnsi="Times New Roman" w:cs="Times New Roman"/>
          <w:sz w:val="26"/>
          <w:szCs w:val="26"/>
        </w:rPr>
        <w:t xml:space="preserve"> (индикаторов)</w:t>
      </w:r>
      <w:r w:rsidRPr="00A4718A">
        <w:rPr>
          <w:rFonts w:ascii="Times New Roman" w:hAnsi="Times New Roman" w:cs="Times New Roman"/>
          <w:sz w:val="26"/>
          <w:szCs w:val="26"/>
        </w:rPr>
        <w:t>, желаемой тенденцией развития которых является рост значений),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или: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4"/>
          <w:sz w:val="26"/>
          <w:szCs w:val="26"/>
        </w:rPr>
        <w:drawing>
          <wp:inline distT="0" distB="0" distL="0" distR="0" wp14:anchorId="1B7FCF2E" wp14:editId="113BC532">
            <wp:extent cx="854710" cy="524510"/>
            <wp:effectExtent l="0" t="0" r="2540" b="889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90618_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для </w:t>
      </w:r>
      <w:r w:rsidR="001804A7">
        <w:rPr>
          <w:rFonts w:ascii="Times New Roman" w:hAnsi="Times New Roman" w:cs="Times New Roman"/>
          <w:sz w:val="26"/>
          <w:szCs w:val="26"/>
        </w:rPr>
        <w:t>целевых показателей (индикаторов</w:t>
      </w:r>
      <w:r w:rsidRPr="00A4718A">
        <w:rPr>
          <w:rFonts w:ascii="Times New Roman" w:hAnsi="Times New Roman" w:cs="Times New Roman"/>
          <w:sz w:val="26"/>
          <w:szCs w:val="26"/>
        </w:rPr>
        <w:t>), желаемой тенденцией развития которых является снижение значений).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При использовании данной формулы в случаях, если Iцi больше 1, значение Iцi принимается равным 1.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D08CC75" wp14:editId="15986E50">
            <wp:extent cx="1206500" cy="269875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90618_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 (подпрограммы);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</w:t>
      </w:r>
      <w:r w:rsidR="00B443D8" w:rsidRPr="00A4718A">
        <w:rPr>
          <w:rFonts w:ascii="Times New Roman" w:hAnsi="Times New Roman" w:cs="Times New Roman"/>
          <w:sz w:val="26"/>
          <w:szCs w:val="26"/>
        </w:rPr>
        <w:t>цi - степень достижения планового значения</w:t>
      </w:r>
      <w:r>
        <w:rPr>
          <w:rFonts w:ascii="Times New Roman" w:hAnsi="Times New Roman" w:cs="Times New Roman"/>
          <w:sz w:val="26"/>
          <w:szCs w:val="26"/>
        </w:rPr>
        <w:t xml:space="preserve"> целевого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показателя (индикатора), характеризующего цели и задачи муниципальной программы (подпрограммы);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муниципальной программы (подпрограммы);</w:t>
      </w:r>
    </w:p>
    <w:p w:rsidR="001D1CB2" w:rsidRPr="00A4718A" w:rsidRDefault="001D1CB2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</w:t>
      </w:r>
      <w:r w:rsidR="00B443D8" w:rsidRPr="00A4718A">
        <w:rPr>
          <w:rFonts w:ascii="Times New Roman" w:hAnsi="Times New Roman" w:cs="Times New Roman"/>
          <w:sz w:val="26"/>
          <w:szCs w:val="26"/>
        </w:rPr>
        <w:t>1.2. Оценка степени соответствия запланированному уровню затрат.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=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>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фактические р</w:t>
      </w:r>
      <w:r w:rsidR="00911C7B">
        <w:rPr>
          <w:rFonts w:ascii="Times New Roman" w:hAnsi="Times New Roman" w:cs="Times New Roman"/>
          <w:sz w:val="26"/>
          <w:szCs w:val="26"/>
        </w:rPr>
        <w:t xml:space="preserve">асходы на реализацию программы </w:t>
      </w:r>
      <w:r w:rsidRPr="00A4718A">
        <w:rPr>
          <w:rFonts w:ascii="Times New Roman" w:hAnsi="Times New Roman" w:cs="Times New Roman"/>
          <w:sz w:val="26"/>
          <w:szCs w:val="26"/>
        </w:rPr>
        <w:t>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З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 w:rsidRPr="00FD1EE1">
        <w:rPr>
          <w:rFonts w:ascii="Times New Roman" w:hAnsi="Times New Roman" w:cs="Times New Roman"/>
          <w:sz w:val="26"/>
          <w:szCs w:val="26"/>
        </w:rPr>
        <w:t>.</w:t>
      </w:r>
      <w:r w:rsidR="00B443D8" w:rsidRPr="00FD1EE1">
        <w:rPr>
          <w:rFonts w:ascii="Times New Roman" w:hAnsi="Times New Roman" w:cs="Times New Roman"/>
          <w:sz w:val="26"/>
          <w:szCs w:val="26"/>
        </w:rPr>
        <w:t>1.3. Оценка степени реализации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="00B443D8" w:rsidRPr="00FD1EE1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 xml:space="preserve">мероприятий оценивается для каждой </w:t>
      </w:r>
      <w:r w:rsidR="00911C7B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A4718A">
        <w:rPr>
          <w:rFonts w:ascii="Times New Roman" w:hAnsi="Times New Roman" w:cs="Times New Roman"/>
          <w:sz w:val="26"/>
          <w:szCs w:val="26"/>
        </w:rPr>
        <w:t>как доля мероприятий, выполненных в полном объеме,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= Мв / М,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Мр - степень реализации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</w:t>
      </w:r>
      <w:r w:rsidR="00911C7B">
        <w:rPr>
          <w:rFonts w:ascii="Times New Roman" w:hAnsi="Times New Roman" w:cs="Times New Roman"/>
          <w:sz w:val="26"/>
          <w:szCs w:val="26"/>
        </w:rPr>
        <w:t>приятий муниципальной программы</w:t>
      </w:r>
      <w:r w:rsidRPr="00A4718A">
        <w:rPr>
          <w:rFonts w:ascii="Times New Roman" w:hAnsi="Times New Roman" w:cs="Times New Roman"/>
          <w:sz w:val="26"/>
          <w:szCs w:val="26"/>
        </w:rPr>
        <w:t>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Мв </w:t>
      </w:r>
      <w:r w:rsidR="001804A7">
        <w:rPr>
          <w:rFonts w:ascii="Times New Roman" w:hAnsi="Times New Roman" w:cs="Times New Roman"/>
          <w:sz w:val="26"/>
          <w:szCs w:val="26"/>
        </w:rPr>
        <w:t>–</w:t>
      </w:r>
      <w:r w:rsidRPr="00A4718A">
        <w:rPr>
          <w:rFonts w:ascii="Times New Roman" w:hAnsi="Times New Roman" w:cs="Times New Roman"/>
          <w:sz w:val="26"/>
          <w:szCs w:val="26"/>
        </w:rPr>
        <w:t xml:space="preserve"> количество</w:t>
      </w:r>
      <w:r w:rsidR="001804A7">
        <w:rPr>
          <w:rFonts w:ascii="Times New Roman" w:hAnsi="Times New Roman" w:cs="Times New Roman"/>
          <w:sz w:val="26"/>
          <w:szCs w:val="26"/>
        </w:rPr>
        <w:t xml:space="preserve"> основных</w:t>
      </w:r>
      <w:r w:rsidRPr="00A4718A">
        <w:rPr>
          <w:rFonts w:ascii="Times New Roman" w:hAnsi="Times New Roman" w:cs="Times New Roman"/>
          <w:sz w:val="26"/>
          <w:szCs w:val="26"/>
        </w:rPr>
        <w:t xml:space="preserve"> мероприятий, выполненных в полном объеме, из числа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 xml:space="preserve">М - общее количество </w:t>
      </w:r>
      <w:r w:rsidR="001804A7">
        <w:rPr>
          <w:rFonts w:ascii="Times New Roman" w:hAnsi="Times New Roman" w:cs="Times New Roman"/>
          <w:sz w:val="26"/>
          <w:szCs w:val="26"/>
        </w:rPr>
        <w:t xml:space="preserve">основных </w:t>
      </w:r>
      <w:r w:rsidRPr="00A4718A">
        <w:rPr>
          <w:rFonts w:ascii="Times New Roman" w:hAnsi="Times New Roman" w:cs="Times New Roman"/>
          <w:sz w:val="26"/>
          <w:szCs w:val="26"/>
        </w:rPr>
        <w:t>мероприятий, запланированных к реализации в отчетном году.</w:t>
      </w:r>
    </w:p>
    <w:p w:rsidR="00B443D8" w:rsidRPr="00A4718A" w:rsidRDefault="001804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</w:t>
      </w:r>
      <w:r w:rsidR="00B443D8" w:rsidRPr="00A4718A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443D8" w:rsidRPr="00A4718A">
        <w:rPr>
          <w:rFonts w:ascii="Times New Roman" w:hAnsi="Times New Roman" w:cs="Times New Roman"/>
          <w:sz w:val="26"/>
          <w:szCs w:val="26"/>
        </w:rPr>
        <w:t>, результаты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оцениваются на основании числовых (в абсолютных или относительных величинах) значений показателей, мо</w:t>
      </w:r>
      <w:r>
        <w:rPr>
          <w:rFonts w:ascii="Times New Roman" w:hAnsi="Times New Roman" w:cs="Times New Roman"/>
          <w:sz w:val="26"/>
          <w:szCs w:val="26"/>
        </w:rPr>
        <w:t>гут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считаться выполненным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в полном объеме при условии, если фактически достигнутый результат составляет не менее 95% от запланированного.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По иным мероприятиям результаты реализации могут оцениваться как наступление или ненаступление события (событий) и (или) достижение качественного результата (оценка проводится экспертно).</w:t>
      </w:r>
    </w:p>
    <w:p w:rsidR="00B73AA7" w:rsidRPr="00A4718A" w:rsidRDefault="00B73AA7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F3835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B5F2E">
        <w:rPr>
          <w:rFonts w:ascii="Times New Roman" w:hAnsi="Times New Roman" w:cs="Times New Roman"/>
          <w:sz w:val="26"/>
          <w:szCs w:val="26"/>
        </w:rPr>
        <w:t>.2</w:t>
      </w:r>
      <w:r w:rsidR="00B443D8" w:rsidRPr="00A4718A">
        <w:rPr>
          <w:rFonts w:ascii="Times New Roman" w:hAnsi="Times New Roman" w:cs="Times New Roman"/>
          <w:sz w:val="26"/>
          <w:szCs w:val="26"/>
        </w:rPr>
        <w:t>. Оценка эффективности реализации муниципальной программы (подпрограммы) рассчитывается по следующей формуле: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Pr="00A4718A" w:rsidRDefault="00771A93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24"/>
          <w:sz w:val="26"/>
          <w:szCs w:val="26"/>
        </w:rPr>
        <w:lastRenderedPageBreak/>
        <w:drawing>
          <wp:inline distT="0" distB="0" distL="0" distR="0" wp14:anchorId="13CCA352" wp14:editId="2CA2335E">
            <wp:extent cx="1633855" cy="457200"/>
            <wp:effectExtent l="0" t="0" r="444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90618_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4A7">
        <w:rPr>
          <w:rFonts w:ascii="Times New Roman" w:hAnsi="Times New Roman" w:cs="Times New Roman"/>
          <w:position w:val="-24"/>
          <w:sz w:val="26"/>
          <w:szCs w:val="26"/>
        </w:rPr>
        <w:t xml:space="preserve">                                          (1)</w:t>
      </w:r>
      <w:r w:rsidR="001804A7" w:rsidRPr="00A47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где: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 - эффективность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Iц - степень реализации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С</w:t>
      </w:r>
      <w:r w:rsidRPr="00A4718A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r w:rsidRPr="00A4718A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Мр - Степень реализации мероприятий муниципальной программы;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высокой, в случае если значение Э составляет не менее 0,90.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 Э составляет не менее 0,75.</w:t>
      </w:r>
    </w:p>
    <w:p w:rsidR="00B443D8" w:rsidRPr="00A4718A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 Э составляет не менее 0,65.</w:t>
      </w:r>
    </w:p>
    <w:p w:rsidR="00B443D8" w:rsidRDefault="00B443D8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718A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3D8" w:rsidRDefault="007F3835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B443D8" w:rsidRPr="00A4718A">
        <w:rPr>
          <w:rFonts w:ascii="Times New Roman" w:hAnsi="Times New Roman" w:cs="Times New Roman"/>
          <w:sz w:val="26"/>
          <w:szCs w:val="26"/>
        </w:rPr>
        <w:t>. План реализации муниципальной программы</w:t>
      </w:r>
    </w:p>
    <w:p w:rsidR="000B5F2E" w:rsidRPr="00A4718A" w:rsidRDefault="000B5F2E" w:rsidP="00A3727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718A" w:rsidRDefault="0016287C" w:rsidP="00A3727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w:anchor="P1639" w:history="1">
        <w:r w:rsidR="00B443D8" w:rsidRPr="00A4718A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="00B443D8" w:rsidRPr="00A4718A">
        <w:rPr>
          <w:rFonts w:ascii="Times New Roman" w:hAnsi="Times New Roman" w:cs="Times New Roman"/>
          <w:sz w:val="26"/>
          <w:szCs w:val="26"/>
        </w:rPr>
        <w:t xml:space="preserve"> реализации муниципальной программы представлен в приложении </w:t>
      </w:r>
      <w:r w:rsidR="005207BE" w:rsidRPr="00A4718A">
        <w:rPr>
          <w:rFonts w:ascii="Times New Roman" w:hAnsi="Times New Roman" w:cs="Times New Roman"/>
          <w:sz w:val="26"/>
          <w:szCs w:val="26"/>
        </w:rPr>
        <w:t>№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</w:t>
      </w:r>
      <w:r w:rsidR="00AB5940">
        <w:rPr>
          <w:rFonts w:ascii="Times New Roman" w:hAnsi="Times New Roman" w:cs="Times New Roman"/>
          <w:sz w:val="26"/>
          <w:szCs w:val="26"/>
        </w:rPr>
        <w:t>4</w:t>
      </w:r>
      <w:r w:rsidR="00B443D8" w:rsidRPr="00A4718A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1E4F74">
      <w:pPr>
        <w:pStyle w:val="ConsPlusNormal"/>
        <w:pBdr>
          <w:bottom w:val="single" w:sz="12" w:space="0" w:color="auto"/>
        </w:pBdr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F3835" w:rsidRDefault="007F3835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F3835" w:rsidRDefault="007F3835" w:rsidP="007F3835">
      <w:pPr>
        <w:autoSpaceDE w:val="0"/>
        <w:autoSpaceDN w:val="0"/>
        <w:adjustRightInd w:val="0"/>
        <w:spacing w:after="0" w:line="360" w:lineRule="auto"/>
        <w:ind w:left="93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F3835" w:rsidSect="00BB082B">
          <w:headerReference w:type="default" r:id="rId14"/>
          <w:pgSz w:w="11906" w:h="16838"/>
          <w:pgMar w:top="678" w:right="567" w:bottom="567" w:left="1276" w:header="397" w:footer="397" w:gutter="0"/>
          <w:cols w:space="708"/>
          <w:docGrid w:linePitch="360"/>
        </w:sectPr>
      </w:pPr>
    </w:p>
    <w:p w:rsidR="007F3835" w:rsidRPr="00BF5629" w:rsidRDefault="007F3835" w:rsidP="0040121D">
      <w:pPr>
        <w:autoSpaceDE w:val="0"/>
        <w:autoSpaceDN w:val="0"/>
        <w:adjustRightInd w:val="0"/>
        <w:spacing w:after="0" w:line="360" w:lineRule="auto"/>
        <w:ind w:left="978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37271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7F3835" w:rsidRPr="00BF5629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7F3835" w:rsidP="0040121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№1093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>«Благоустройство территорий Находкинского городского округа на  2021-2024 годы»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5038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6859"/>
        <w:gridCol w:w="1249"/>
        <w:gridCol w:w="930"/>
        <w:gridCol w:w="954"/>
        <w:gridCol w:w="979"/>
        <w:gridCol w:w="972"/>
        <w:gridCol w:w="827"/>
        <w:gridCol w:w="1662"/>
      </w:tblGrid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F3835" w:rsidRPr="007F3835" w:rsidRDefault="007F3835" w:rsidP="007F3835">
            <w:pPr>
              <w:tabs>
                <w:tab w:val="left" w:pos="375"/>
                <w:tab w:val="center" w:pos="13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Значения целевого показателя (индикатора)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ожидаемые конечные результаты за период реализации 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872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405"/>
                <w:tab w:val="center" w:pos="7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420"/>
                <w:tab w:val="center" w:pos="8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210"/>
                <w:tab w:val="center" w:pos="5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210"/>
              </w:tabs>
              <w:suppressAutoHyphens/>
              <w:spacing w:after="0" w:line="240" w:lineRule="auto"/>
              <w:ind w:lef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447</w:t>
            </w:r>
          </w:p>
        </w:tc>
      </w:tr>
    </w:tbl>
    <w:p w:rsidR="007F3835" w:rsidRDefault="007F3835" w:rsidP="007F383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3835" w:rsidRPr="0028169C" w:rsidRDefault="007F3835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8169C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«Благоустройство территории Находкинского городского округа»</w:t>
      </w:r>
    </w:p>
    <w:p w:rsidR="0028169C" w:rsidRPr="00BF5629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2021-2024 годы, утвержденной постановлением администрации Находкинского городского округа</w:t>
      </w:r>
    </w:p>
    <w:p w:rsidR="007F3835" w:rsidRPr="007F3835" w:rsidRDefault="0028169C" w:rsidP="0040121D">
      <w:pPr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№1093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ПРОГНОЗНАЯ ОЦЕНКА 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35">
        <w:rPr>
          <w:rFonts w:ascii="Times New Roman" w:eastAsia="Calibri" w:hAnsi="Times New Roman" w:cs="Times New Roman"/>
          <w:b/>
          <w:sz w:val="24"/>
          <w:szCs w:val="24"/>
        </w:rPr>
        <w:t xml:space="preserve">расходов муниципальной программы 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tbl>
      <w:tblPr>
        <w:tblStyle w:val="72"/>
        <w:tblW w:w="14742" w:type="dxa"/>
        <w:tblInd w:w="534" w:type="dxa"/>
        <w:tblLook w:val="04A0" w:firstRow="1" w:lastRow="0" w:firstColumn="1" w:lastColumn="0" w:noHBand="0" w:noVBand="1"/>
      </w:tblPr>
      <w:tblGrid>
        <w:gridCol w:w="992"/>
        <w:gridCol w:w="5953"/>
        <w:gridCol w:w="2977"/>
        <w:gridCol w:w="1276"/>
        <w:gridCol w:w="1134"/>
        <w:gridCol w:w="1134"/>
        <w:gridCol w:w="1276"/>
      </w:tblGrid>
      <w:tr w:rsidR="007F3835" w:rsidRPr="007F3835" w:rsidTr="007F3835">
        <w:trPr>
          <w:trHeight w:val="2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7F3835" w:rsidRPr="007F3835" w:rsidTr="007F3835">
        <w:trPr>
          <w:trHeight w:val="256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F3835" w:rsidRPr="007F3835" w:rsidTr="007F3835">
        <w:trPr>
          <w:trHeight w:val="3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</w:tr>
      <w:tr w:rsidR="007F3835" w:rsidRPr="007F3835" w:rsidTr="007F3835">
        <w:trPr>
          <w:trHeight w:val="318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 xml:space="preserve">Текущее содержание общественных территорий и мест общего пользования Находкинского городского округа, </w:t>
            </w:r>
          </w:p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F3835" w:rsidRPr="007F3835" w:rsidTr="007F3835">
        <w:trPr>
          <w:trHeight w:val="20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16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15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188"/>
                <w:tab w:val="center" w:pos="74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54200</w:t>
            </w:r>
          </w:p>
        </w:tc>
      </w:tr>
      <w:tr w:rsidR="007F3835" w:rsidRPr="007F3835" w:rsidTr="007F3835">
        <w:trPr>
          <w:trHeight w:val="243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281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Озеленение общественных территорий и мест общего пользования Находкинского городского округа.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5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15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50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293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3835" w:rsidRPr="007F3835" w:rsidTr="007F383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18500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56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5500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rPr>
          <w:trHeight w:val="7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F3835" w:rsidRPr="007F3835" w:rsidTr="007F3835">
        <w:trPr>
          <w:trHeight w:val="281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 xml:space="preserve"> 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1500</w:t>
            </w: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835" w:rsidRPr="007F3835" w:rsidTr="007F383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835" w:rsidRDefault="007F3835" w:rsidP="007F383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3835" w:rsidSect="0028169C">
          <w:pgSz w:w="16838" w:h="11906" w:orient="landscape"/>
          <w:pgMar w:top="426" w:right="680" w:bottom="567" w:left="1134" w:header="397" w:footer="397" w:gutter="0"/>
          <w:cols w:space="708"/>
          <w:docGrid w:linePitch="360"/>
        </w:sect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3835" w:rsidRPr="00BF5629" w:rsidRDefault="007F3835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№3</w:t>
      </w:r>
    </w:p>
    <w:p w:rsidR="0040121D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</w:t>
      </w:r>
    </w:p>
    <w:p w:rsidR="007F3835" w:rsidRPr="00BF5629" w:rsidRDefault="0028169C" w:rsidP="0040121D">
      <w:pPr>
        <w:autoSpaceDE w:val="0"/>
        <w:autoSpaceDN w:val="0"/>
        <w:adjustRightInd w:val="0"/>
        <w:spacing w:after="0" w:line="240" w:lineRule="auto"/>
        <w:ind w:left="9356"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16.10.2020 №1093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Batang" w:hAnsi="Times New Roman" w:cs="Times New Roman"/>
          <w:sz w:val="26"/>
          <w:szCs w:val="26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РЕСУРСНОЕ ОБЕСПЕЧЕНИЕ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ko-KR"/>
        </w:rPr>
      </w:pPr>
      <w:r w:rsidRPr="007F383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реализации муниципальной программы Находкинского городского округа за счет средств бюджета Находкинского городского округа, (тыс.руб.) «</w:t>
      </w:r>
      <w:r w:rsidRPr="007F3835">
        <w:rPr>
          <w:rFonts w:ascii="Times New Roman" w:hAnsi="Times New Roman"/>
          <w:b/>
          <w:sz w:val="24"/>
          <w:szCs w:val="24"/>
          <w:lang w:eastAsia="ko-KR"/>
        </w:rPr>
        <w:t>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</w:p>
    <w:p w:rsidR="007F3835" w:rsidRPr="007F3835" w:rsidRDefault="007F3835" w:rsidP="007F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tbl>
      <w:tblPr>
        <w:tblStyle w:val="122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6"/>
        <w:gridCol w:w="4149"/>
        <w:gridCol w:w="2004"/>
        <w:gridCol w:w="858"/>
        <w:gridCol w:w="859"/>
        <w:gridCol w:w="1574"/>
        <w:gridCol w:w="1001"/>
        <w:gridCol w:w="1001"/>
        <w:gridCol w:w="1001"/>
        <w:gridCol w:w="1001"/>
        <w:gridCol w:w="1146"/>
      </w:tblGrid>
      <w:tr w:rsidR="007F3835" w:rsidRPr="007F3835" w:rsidTr="007F3835">
        <w:trPr>
          <w:trHeight w:val="253"/>
        </w:trPr>
        <w:tc>
          <w:tcPr>
            <w:tcW w:w="716" w:type="dxa"/>
            <w:vMerge w:val="restart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149" w:type="dxa"/>
            <w:vMerge w:val="restart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Наименование мероприятия</w:t>
            </w:r>
          </w:p>
        </w:tc>
        <w:tc>
          <w:tcPr>
            <w:tcW w:w="2004" w:type="dxa"/>
            <w:vMerge w:val="restart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Ответственный исполнитель</w:t>
            </w:r>
          </w:p>
        </w:tc>
        <w:tc>
          <w:tcPr>
            <w:tcW w:w="4292" w:type="dxa"/>
            <w:gridSpan w:val="4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Код бюджетной классификации</w:t>
            </w:r>
          </w:p>
        </w:tc>
        <w:tc>
          <w:tcPr>
            <w:tcW w:w="4149" w:type="dxa"/>
            <w:gridSpan w:val="4"/>
            <w:vAlign w:val="center"/>
          </w:tcPr>
          <w:p w:rsidR="007F3835" w:rsidRPr="007F3835" w:rsidRDefault="007F3835" w:rsidP="007F3835">
            <w:pPr>
              <w:ind w:right="176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Расходы (тыс.руб.), годы</w:t>
            </w:r>
          </w:p>
        </w:tc>
      </w:tr>
      <w:tr w:rsidR="007F3835" w:rsidRPr="007F3835" w:rsidTr="007F3835">
        <w:tc>
          <w:tcPr>
            <w:tcW w:w="716" w:type="dxa"/>
            <w:vMerge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4149" w:type="dxa"/>
            <w:vMerge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004" w:type="dxa"/>
            <w:vMerge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ГРБС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РзПр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ЦСР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ВР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2021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2022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2023</w:t>
            </w:r>
          </w:p>
        </w:tc>
        <w:tc>
          <w:tcPr>
            <w:tcW w:w="114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2024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8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5</w:t>
            </w:r>
          </w:p>
        </w:tc>
        <w:tc>
          <w:tcPr>
            <w:tcW w:w="157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7</w:t>
            </w:r>
          </w:p>
        </w:tc>
        <w:tc>
          <w:tcPr>
            <w:tcW w:w="1001" w:type="dxa"/>
          </w:tcPr>
          <w:p w:rsidR="007F3835" w:rsidRPr="007F3835" w:rsidRDefault="007F3835" w:rsidP="007F3835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7F3835" w:rsidRPr="007F3835" w:rsidRDefault="007F3835" w:rsidP="007F3835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9</w:t>
            </w:r>
          </w:p>
        </w:tc>
        <w:tc>
          <w:tcPr>
            <w:tcW w:w="1001" w:type="dxa"/>
          </w:tcPr>
          <w:p w:rsidR="007F3835" w:rsidRPr="007F3835" w:rsidRDefault="007F3835" w:rsidP="007F3835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10</w:t>
            </w:r>
          </w:p>
        </w:tc>
        <w:tc>
          <w:tcPr>
            <w:tcW w:w="1146" w:type="dxa"/>
          </w:tcPr>
          <w:p w:rsidR="007F3835" w:rsidRPr="007F3835" w:rsidRDefault="007F3835" w:rsidP="007F3835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11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4149" w:type="dxa"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Благоустройство территорий Находкинского городского округа» на  2021-2024 годы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2500000000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64733,72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64733,72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64733,72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ind w:left="-108" w:firstLine="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1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 xml:space="preserve">Озеленение скверов, видовых площадок, памятных мест и прогулочных зон  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1.1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Озеленение общественных территорий и мест общего пользования Находкинского городского округа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2590143010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23133,72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Комплексное благоустройство муниципальных территорий общего пользования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2.1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3000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2.2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lastRenderedPageBreak/>
              <w:t>1</w:t>
            </w:r>
          </w:p>
        </w:tc>
        <w:tc>
          <w:tcPr>
            <w:tcW w:w="414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2</w:t>
            </w:r>
          </w:p>
        </w:tc>
        <w:tc>
          <w:tcPr>
            <w:tcW w:w="200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3</w:t>
            </w: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4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5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6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7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8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9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10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11</w:t>
            </w:r>
          </w:p>
        </w:tc>
      </w:tr>
      <w:tr w:rsidR="007F3835" w:rsidRPr="007F3835" w:rsidTr="007F3835">
        <w:tc>
          <w:tcPr>
            <w:tcW w:w="716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lang w:eastAsia="ko-KR"/>
              </w:rPr>
            </w:pPr>
            <w:r w:rsidRPr="007F3835">
              <w:rPr>
                <w:rFonts w:ascii="Times New Roman" w:hAnsi="Times New Roman"/>
                <w:lang w:eastAsia="ko-KR"/>
              </w:rPr>
              <w:t>2.3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Содержание и выполнение текущего ремонта выявленных объектов культурного наследия местного (муниципального) значения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2590143020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Прочие мероприятия по благоустройству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3.1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Закупка газа и техническое обслуживание групповой резервуарной установки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600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3.2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Праздничное оформление города путем установки иллюминации, флагов, прочих конструкций (инсталляции, новогодние ёлки и пр.)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2590143040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c>
          <w:tcPr>
            <w:tcW w:w="7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49" w:type="dxa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скверов, видовых площадок и прогулочных зон</w:t>
            </w:r>
          </w:p>
        </w:tc>
        <w:tc>
          <w:tcPr>
            <w:tcW w:w="2004" w:type="dxa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001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146" w:type="dxa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  <w:tr w:rsidR="007F3835" w:rsidRPr="007F3835" w:rsidTr="007F3835">
        <w:tblPrEx>
          <w:shd w:val="clear" w:color="auto" w:fill="FFFFFF" w:themeFill="background1"/>
        </w:tblPrEx>
        <w:trPr>
          <w:trHeight w:val="1089"/>
        </w:trPr>
        <w:tc>
          <w:tcPr>
            <w:tcW w:w="716" w:type="dxa"/>
            <w:shd w:val="clear" w:color="auto" w:fill="FFFFFF" w:themeFill="background1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4.1</w:t>
            </w:r>
          </w:p>
        </w:tc>
        <w:tc>
          <w:tcPr>
            <w:tcW w:w="4149" w:type="dxa"/>
            <w:shd w:val="clear" w:color="auto" w:fill="FFFFFF" w:themeFill="background1"/>
          </w:tcPr>
          <w:p w:rsidR="007F3835" w:rsidRPr="007F3835" w:rsidRDefault="007F3835" w:rsidP="007F3835">
            <w:pPr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Текущее содержание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2004" w:type="dxa"/>
            <w:shd w:val="clear" w:color="auto" w:fill="FFFFFF" w:themeFill="background1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Управление благоустройства</w:t>
            </w:r>
          </w:p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835">
              <w:rPr>
                <w:rFonts w:ascii="Times New Roman" w:hAnsi="Times New Roman"/>
                <w:sz w:val="24"/>
                <w:szCs w:val="24"/>
              </w:rPr>
              <w:t>2590143070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244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38000</w:t>
            </w:r>
          </w:p>
        </w:tc>
        <w:tc>
          <w:tcPr>
            <w:tcW w:w="1146" w:type="dxa"/>
            <w:shd w:val="clear" w:color="auto" w:fill="FFFFFF" w:themeFill="background1"/>
            <w:vAlign w:val="center"/>
          </w:tcPr>
          <w:p w:rsidR="007F3835" w:rsidRPr="007F3835" w:rsidRDefault="007F3835" w:rsidP="007F3835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7F3835">
              <w:rPr>
                <w:rFonts w:ascii="Times New Roman" w:hAnsi="Times New Roman"/>
              </w:rPr>
              <w:t>0</w:t>
            </w:r>
          </w:p>
        </w:tc>
      </w:tr>
    </w:tbl>
    <w:p w:rsidR="007F3835" w:rsidRPr="007F3835" w:rsidRDefault="007F3835" w:rsidP="007F3835">
      <w:r w:rsidRPr="007F3835">
        <w:br w:type="page"/>
      </w:r>
    </w:p>
    <w:p w:rsidR="007F3835" w:rsidRDefault="007F3835" w:rsidP="007F3835">
      <w:pPr>
        <w:suppressAutoHyphens/>
        <w:jc w:val="center"/>
        <w:outlineLvl w:val="0"/>
        <w:rPr>
          <w:rFonts w:ascii="Times New Roman" w:hAnsi="Times New Roman" w:cs="Times New Roman"/>
          <w:b/>
          <w:bCs/>
          <w:szCs w:val="26"/>
        </w:r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529"/>
      </w:tblGrid>
      <w:tr w:rsidR="007F3835" w:rsidRPr="007F3835" w:rsidTr="0040121D">
        <w:tc>
          <w:tcPr>
            <w:tcW w:w="9747" w:type="dxa"/>
          </w:tcPr>
          <w:p w:rsidR="007F3835" w:rsidRPr="007F3835" w:rsidRDefault="007F3835" w:rsidP="007F3835">
            <w:pPr>
              <w:suppressAutoHyphens/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  <w:tc>
          <w:tcPr>
            <w:tcW w:w="5529" w:type="dxa"/>
          </w:tcPr>
          <w:p w:rsidR="007F3835" w:rsidRPr="00BF5629" w:rsidRDefault="007F3835" w:rsidP="0040121D">
            <w:pPr>
              <w:ind w:left="-249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A37271" w:rsidRDefault="0028169C" w:rsidP="0040121D">
            <w:pPr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  <w:r w:rsidR="0040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40121D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№1093</w:t>
            </w:r>
          </w:p>
        </w:tc>
      </w:tr>
    </w:tbl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40121D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 муниципальной программы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3835">
        <w:rPr>
          <w:rFonts w:ascii="Times New Roman" w:hAnsi="Times New Roman"/>
          <w:b/>
          <w:sz w:val="24"/>
          <w:szCs w:val="24"/>
          <w:lang w:eastAsia="ko-KR"/>
        </w:rPr>
        <w:t>«Благоустройство территорий Находкинского городского округа» на  2021-2024 годы</w:t>
      </w:r>
    </w:p>
    <w:p w:rsidR="007F3835" w:rsidRPr="007F3835" w:rsidRDefault="007F3835" w:rsidP="007F3835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168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1842"/>
        <w:gridCol w:w="1418"/>
        <w:gridCol w:w="2410"/>
        <w:gridCol w:w="708"/>
        <w:gridCol w:w="709"/>
        <w:gridCol w:w="851"/>
        <w:gridCol w:w="850"/>
        <w:gridCol w:w="709"/>
        <w:gridCol w:w="2835"/>
      </w:tblGrid>
      <w:tr w:rsidR="007F3835" w:rsidRPr="007F3835" w:rsidTr="00BF5629">
        <w:trPr>
          <w:trHeight w:val="5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реализации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</w:tr>
      <w:tr w:rsidR="007F3835" w:rsidRPr="007F3835" w:rsidTr="00BF5629">
        <w:trPr>
          <w:cantSplit/>
          <w:trHeight w:val="5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Обеспечение содержания  и озеленения общественных территорий и мест общего пользования Находкинского городского округа</w:t>
            </w:r>
          </w:p>
        </w:tc>
      </w:tr>
      <w:tr w:rsidR="007F3835" w:rsidRPr="007F3835" w:rsidTr="0040121D">
        <w:trPr>
          <w:trHeight w:val="258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Текущее содержание общественных территорий и мест общего пользования Находкинского городского округа; (Приложение №5 )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текущим содержанием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общественных территорий и мест общего пользования Находкинского городского округа, обеспеченных текущим содержанием;</w:t>
            </w:r>
          </w:p>
          <w:p w:rsidR="007F3835" w:rsidRPr="007F3835" w:rsidRDefault="007F3835" w:rsidP="00B73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общественных территорий и мест общего пользования Находкинского городского округа, обеспеченных озеленением.</w:t>
            </w:r>
          </w:p>
        </w:tc>
      </w:tr>
      <w:tr w:rsidR="007F3835" w:rsidRPr="007F3835" w:rsidTr="0040121D">
        <w:trPr>
          <w:trHeight w:val="239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Озеленение общественных территорий и мест общего пользования Находкинского городского округа</w:t>
            </w:r>
          </w:p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(Приложение №5 )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объектов </w:t>
            </w: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общественных территорий и мест общего пользования Находкинского городского округа, обеспеченных озеленением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35" w:rsidRPr="007F3835" w:rsidTr="00BF5629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3835" w:rsidRPr="007F3835" w:rsidTr="00BF5629">
        <w:trPr>
          <w:trHeight w:val="157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hAnsi="Times New Roman"/>
                <w:sz w:val="24"/>
                <w:szCs w:val="24"/>
                <w:lang w:eastAsia="ko-KR"/>
              </w:rPr>
              <w:t>Закупка  газа и техническое обслуживание групповой резервуарной установки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2021-2024гг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объектов, обеспеченных газоснабжением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Организация и содержание прочих объектов благоустройства Находкинского городского округа</w:t>
            </w:r>
          </w:p>
        </w:tc>
      </w:tr>
      <w:tr w:rsidR="007F3835" w:rsidRPr="007F3835" w:rsidTr="00BF5629">
        <w:trPr>
          <w:trHeight w:val="5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Ремонт лестниц, расположенных на территории общего пользования Находкинского городского округа и пешеходных зон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Приложение №6)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отремонтированных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лестниц и пешеходных зон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tabs>
                <w:tab w:val="left" w:pos="600"/>
                <w:tab w:val="center" w:pos="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восстановленных и (или) замененных элементов благоустройства Находкинского городского округа</w:t>
            </w:r>
          </w:p>
        </w:tc>
      </w:tr>
      <w:tr w:rsidR="007F3835" w:rsidRPr="007F3835" w:rsidTr="00BF5629">
        <w:trPr>
          <w:trHeight w:val="139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Закупка и установка скамеек, урн и мусорных контейнеров</w:t>
            </w: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скамеек,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урн и мусорных контейнеров, </w:t>
            </w: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установленных в местах общего пользования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35" w:rsidRPr="007F3835" w:rsidTr="00BF5629">
        <w:trPr>
          <w:trHeight w:val="29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оформление города путем установки иллюминации, флагов, прочих конструкций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элементов оформления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835" w:rsidRPr="007F3835" w:rsidTr="00BF5629">
        <w:trPr>
          <w:trHeight w:val="7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Содержание и выполнение текущего ремонта выявленных объектов культурного </w:t>
            </w:r>
          </w:p>
          <w:p w:rsidR="007F3835" w:rsidRPr="007F3835" w:rsidRDefault="007F3835" w:rsidP="007F3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наследия местного </w:t>
            </w:r>
            <w:r w:rsidRPr="007F3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(муниципального) значения (Приложение №7)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2021-2024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Количество отремонтированных выявленных объектов культурного наследия местного (муниципального) </w:t>
            </w:r>
          </w:p>
          <w:p w:rsidR="007F3835" w:rsidRPr="007F3835" w:rsidRDefault="007F3835" w:rsidP="007F3835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lastRenderedPageBreak/>
              <w:t>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35" w:rsidRPr="007F3835" w:rsidRDefault="007F3835" w:rsidP="007F3835">
            <w:pPr>
              <w:tabs>
                <w:tab w:val="left" w:pos="6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 – В графе 11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В графах 7,8,9,10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*- При наличии «Подпрограмм» указываются задачи по каждой подпрограмме.»</w:t>
      </w: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835">
        <w:rPr>
          <w:rFonts w:ascii="Times New Roman" w:eastAsia="Times New Roman" w:hAnsi="Times New Roman" w:cs="Times New Roman"/>
          <w:sz w:val="20"/>
          <w:szCs w:val="20"/>
          <w:lang w:eastAsia="ru-RU"/>
        </w:rPr>
        <w:t>**Количество территорий, на которых и содержание и озеленение, учитывается в обоих показателях.</w:t>
      </w:r>
    </w:p>
    <w:p w:rsidR="007F3835" w:rsidRPr="007F3835" w:rsidRDefault="007F3835" w:rsidP="007F3835"/>
    <w:p w:rsidR="007F3835" w:rsidRDefault="007F3835" w:rsidP="007F3835">
      <w:pPr>
        <w:sectPr w:rsidR="007F3835" w:rsidSect="007F3835">
          <w:pgSz w:w="16838" w:h="11906" w:orient="landscape"/>
          <w:pgMar w:top="567" w:right="680" w:bottom="567" w:left="1134" w:header="397" w:footer="397" w:gutter="0"/>
          <w:cols w:space="708"/>
          <w:docGrid w:linePitch="360"/>
        </w:sect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7F3835" w:rsidRPr="007F3835" w:rsidTr="00BF5629">
        <w:tc>
          <w:tcPr>
            <w:tcW w:w="6062" w:type="dxa"/>
          </w:tcPr>
          <w:p w:rsidR="007F3835" w:rsidRPr="007F3835" w:rsidRDefault="007F3835" w:rsidP="00BF5629">
            <w:pPr>
              <w:tabs>
                <w:tab w:val="left" w:pos="10348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3835" w:rsidRPr="00BF5629" w:rsidRDefault="007F3835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7F3835" w:rsidRPr="007F3835" w:rsidRDefault="0028169C" w:rsidP="00F878A8">
            <w:pPr>
              <w:tabs>
                <w:tab w:val="left" w:pos="10348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 на 2021-2024 годы, утвержденной постановлением администрации Находкинского городского округа от 16.10.2020 №1093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объектов, видовых площадок, скверов, памятных мест, 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прогулочных зон Находкинского городского округа, подлежащих текущему содержанию и озеленению  на 2021 г. -2024 г.</w:t>
      </w: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1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984"/>
        <w:gridCol w:w="1418"/>
      </w:tblGrid>
      <w:tr w:rsidR="007F3835" w:rsidRPr="007F3835" w:rsidTr="00BF5629">
        <w:trPr>
          <w:trHeight w:val="14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объекта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общественных территорий и мест общего пользования Находкинского городского округа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 кв.</w:t>
            </w:r>
          </w:p>
        </w:tc>
      </w:tr>
      <w:tr w:rsidR="007F3835" w:rsidRPr="007F3835" w:rsidTr="00BF5629">
        <w:trPr>
          <w:trHeight w:val="1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(подметание, уборка от мусора, выкашивание газона)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(однолетники, многолетники, кустарники стрижка и обрезка)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площадь территории</w:t>
            </w:r>
          </w:p>
        </w:tc>
      </w:tr>
      <w:tr w:rsidR="007F3835" w:rsidRPr="007F3835" w:rsidTr="00BF5629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28169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"Морской" и прилегающая территория, 12 м на северо-восток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22211</w:t>
            </w:r>
          </w:p>
        </w:tc>
      </w:tr>
      <w:tr w:rsidR="007F3835" w:rsidRPr="007F3835" w:rsidTr="00BF5629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 памятника погибшим партизанам  в 1918 - 1922 г.г., 35 м на юго-запад от здания по Находкинскому пр.,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7712</w:t>
            </w:r>
          </w:p>
        </w:tc>
      </w:tr>
      <w:tr w:rsidR="007F3835" w:rsidRPr="007F3835" w:rsidTr="00BF5629">
        <w:trPr>
          <w:trHeight w:val="9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Территория, прилегающая к Мемориалу памятника членам экипажа СРТМ "Бокситогорск", погибшего в 1976 г. и Звоннице, 140 м на северо-восток от жилого дома по ул. Куйбышева,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25475</w:t>
            </w:r>
          </w:p>
        </w:tc>
      </w:tr>
      <w:tr w:rsidR="007F3835" w:rsidRPr="007F3835" w:rsidTr="00BF5629">
        <w:trPr>
          <w:trHeight w:val="3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Дзержинского в районе муниципального Дома  молодежи, 40 м на северо-запад от здания по ул. Дзержинского,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31694</w:t>
            </w:r>
          </w:p>
        </w:tc>
      </w:tr>
      <w:tr w:rsidR="007F3835" w:rsidRPr="007F3835" w:rsidTr="0028169C">
        <w:trPr>
          <w:trHeight w:val="464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Малиновского,2а-2, 18 м на восток от жилого дома по ул.Малиновского,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2165</w:t>
            </w:r>
          </w:p>
        </w:tc>
      </w:tr>
      <w:tr w:rsidR="007F3835" w:rsidRPr="007F3835" w:rsidTr="00BF5629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 вдоль речки Каменки (от пр. Мира  до Низменного переулка, 35 ), 65 м на северо-запад от здания Т.Ц. по Находкинскому пр.,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21643</w:t>
            </w:r>
          </w:p>
        </w:tc>
      </w:tr>
      <w:tr w:rsidR="007F3835" w:rsidRPr="007F3835" w:rsidTr="00BF5629">
        <w:trPr>
          <w:trHeight w:val="4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Озерный бульвар, 22 м на юго-восток от здания ТЦ по Озерному б-ру,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16943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пр.,14 - Школьная, 4, 30 м на запад от здания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</w:t>
            </w:r>
          </w:p>
        </w:tc>
      </w:tr>
      <w:tr w:rsidR="007F3835" w:rsidRPr="007F3835" w:rsidTr="00BF5629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стелы Совершеннолетия - монумента в честь преобразования поселка в город, ул. Пограничная, 2, 10 м на восток  от жилого дома по ул. Пограничная,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4245</w:t>
            </w:r>
          </w:p>
        </w:tc>
      </w:tr>
      <w:tr w:rsidR="007F3835" w:rsidRPr="007F3835" w:rsidTr="0028169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ул.Ленинская, 9 м на юг от жилого дома по ул. Ленинская,10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8716</w:t>
            </w:r>
          </w:p>
        </w:tc>
      </w:tr>
      <w:tr w:rsidR="007F3835" w:rsidRPr="007F3835" w:rsidTr="00BF5629">
        <w:trPr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в районе МЦК  ул. Владивостокская, 10 м на северо-запад от здания по ул. Ленинская, 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</w:t>
            </w:r>
          </w:p>
        </w:tc>
      </w:tr>
      <w:tr w:rsidR="007F3835" w:rsidRPr="007F3835" w:rsidTr="0028169C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 Горького, 4 - 2 ,  5 м на восток от жилого дома по ул. Горького, 2 - 7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4677</w:t>
            </w:r>
          </w:p>
        </w:tc>
      </w:tr>
      <w:tr w:rsidR="007F3835" w:rsidRPr="007F3835" w:rsidTr="00BF5629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Находкинский проспект, 50 - 56, 10 м на восток от жилого дома по Находкинскому пр., 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</w:t>
            </w:r>
          </w:p>
        </w:tc>
      </w:tr>
      <w:tr w:rsidR="007F3835" w:rsidRPr="007F3835" w:rsidTr="00BF5629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ЗАГСу, 30 м на север от здания по Находкинскому пр.,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BF562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 культуры и отдыха, 30 м  на юго-восток от жилого дома по ул. Гагарина, 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480906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482207</w:t>
            </w:r>
          </w:p>
        </w:tc>
      </w:tr>
      <w:tr w:rsidR="007F3835" w:rsidRPr="007F3835" w:rsidTr="00BF5629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Гончарова - ул. Гагарина - ул. Лермонтова , 25 м на восток от жилого дома по ул. Лермонтова,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5744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Прогулочная зона, 40 м на юго-восток от жилого дома по Находкинскому пр., 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7960</w:t>
            </w:r>
          </w:p>
        </w:tc>
      </w:tr>
      <w:tr w:rsidR="007F3835" w:rsidRPr="007F3835" w:rsidTr="00BF5629">
        <w:trPr>
          <w:trHeight w:val="9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ул. Спортивная 25-27, 35 м на восток от жилого  дома по ул. Спортивная, 25, 35 м на восток от жилого дома по ул. Спортивная,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14894</w:t>
            </w:r>
          </w:p>
        </w:tc>
      </w:tr>
      <w:tr w:rsidR="007F3835" w:rsidRPr="007F3835" w:rsidTr="00BF5629">
        <w:trPr>
          <w:trHeight w:val="9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Территория, прилегающая к Мемориалу японским военнопленным ул. Сенявина (бывшее буддийское кладбище), 20 м на север от жилого дома по ул. Тургенева,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7F3835" w:rsidRPr="007F3835" w:rsidTr="00BF5629">
        <w:trPr>
          <w:trHeight w:val="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Пирогова в районе а/остановки "стадион "Приморец"/, 160 м на запад от жилого дома по ул. Пирогова,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</w:t>
            </w:r>
          </w:p>
        </w:tc>
      </w:tr>
      <w:tr w:rsidR="007F3835" w:rsidRPr="007F3835" w:rsidTr="00BF5629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Сквер ул. Арсеньева, 1,  30 м на запад  от жилого дома  по ул. Арсеньева,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</w:t>
            </w:r>
          </w:p>
        </w:tc>
      </w:tr>
      <w:tr w:rsidR="007F3835" w:rsidRPr="007F3835" w:rsidTr="00BF5629">
        <w:trPr>
          <w:trHeight w:val="119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кольцо/, расположенный по ул. Перевальная - ул. Шевченко - Находкинский пр./  в районе МБОУ № 7/, 47 м на юг от здания школы № 7 по ул. Шевченко,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0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 /разворотное кольцо/, расположенный по Находкинскому пр. в районе а/остановки "ЖБК"/, 65 м на юго-восток от здания Т.Ц. по ул. Малиновского, 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1875</w:t>
            </w:r>
          </w:p>
        </w:tc>
      </w:tr>
      <w:tr w:rsidR="007F3835" w:rsidRPr="007F3835" w:rsidTr="00BF5629">
        <w:trPr>
          <w:trHeight w:val="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бухта Прозрачная  (прогулочная набережная), 270 м на северо-запад от жилого дома  по ул. Троицкая,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17310</w:t>
            </w:r>
          </w:p>
        </w:tc>
      </w:tr>
      <w:tr w:rsidR="007F3835" w:rsidRPr="007F3835" w:rsidTr="00BF5629">
        <w:trPr>
          <w:trHeight w:val="7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 районе а/остановки  "Тихоокеанской", 25 м на юг от жилого дома по Находкинскому пр.,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9460</w:t>
            </w:r>
          </w:p>
        </w:tc>
      </w:tr>
      <w:tr w:rsidR="007F3835" w:rsidRPr="007F3835" w:rsidTr="00BF5629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1, 500 м на юг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4153</w:t>
            </w:r>
          </w:p>
        </w:tc>
      </w:tr>
      <w:tr w:rsidR="007F3835" w:rsidRPr="007F3835" w:rsidTr="00BF5629">
        <w:trPr>
          <w:trHeight w:val="5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2, 90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1242</w:t>
            </w:r>
          </w:p>
        </w:tc>
      </w:tr>
      <w:tr w:rsidR="007F3835" w:rsidRPr="007F3835" w:rsidTr="00BF5629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3, 470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2801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4, 140 м на северо-восток от жилого дома по ул. Седова,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5127</w:t>
            </w:r>
          </w:p>
        </w:tc>
      </w:tr>
      <w:tr w:rsidR="007F3835" w:rsidRPr="007F3835" w:rsidTr="00BF562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Прилегающая территория у Памятника Победы в Великой Отечественной войне 1941 - 1945 г.г., 120 м на северо-восток от жилого дома по ул. Водолазная,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Памятное место "Сад Камней" и прилегающая территория, 100 м на юг от жилого дома по ул. Водолазная,10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6747</w:t>
            </w:r>
          </w:p>
        </w:tc>
      </w:tr>
      <w:tr w:rsidR="007F3835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от центральной площади до поворота на мыс Шефнера, 125 м на северо-восток от здания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12065</w:t>
            </w:r>
          </w:p>
        </w:tc>
      </w:tr>
      <w:tr w:rsidR="007F3835" w:rsidRPr="007F3835" w:rsidTr="00BF562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на Центральной площади, 27 м на северо-восток от здания  по ул. Портовая,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3859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4257</w:t>
            </w:r>
          </w:p>
        </w:tc>
      </w:tr>
      <w:tr w:rsidR="007F3835" w:rsidRPr="007F3835" w:rsidTr="00BF562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 ул. Гагарина, 13 - ул. Гагарина, 15, 12 м на юго- запад от жилого дома по ул. Гагарина, 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</w:tr>
      <w:tr w:rsidR="007F3835" w:rsidRPr="007F3835" w:rsidTr="00BF5629">
        <w:trPr>
          <w:trHeight w:val="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2,5 м на северо-запад от здания по ул. Озерный,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</w:t>
            </w:r>
          </w:p>
        </w:tc>
      </w:tr>
      <w:tr w:rsidR="007F3835" w:rsidRPr="007F3835" w:rsidTr="00BF5629">
        <w:trPr>
          <w:trHeight w:val="8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Декоративный сквер /разворотное кольцо в районе МЖК Северный пр. - пр. Мира - объездная дорога/, 70 м на юго-запад от жилого дома по ул. Северный пр., 2/2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</w:t>
            </w:r>
          </w:p>
        </w:tc>
      </w:tr>
      <w:tr w:rsidR="007F3835" w:rsidRPr="007F3835" w:rsidTr="00BF5629">
        <w:trPr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села Ливадия, павшим в годы Великой отечественной войны 1941 - 1945 г.г., 15 м на юго-запад от здания по ул. Заречная, 2а, п. Ливадия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12710</w:t>
            </w:r>
          </w:p>
        </w:tc>
      </w:tr>
      <w:tr w:rsidR="007F3835" w:rsidRPr="007F3835" w:rsidTr="00BF5629">
        <w:trPr>
          <w:trHeight w:val="5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"Радуга", 20 м на север от жилого дома по  ул. Победы, 2,  п. Южно-Морской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7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автовокзала, 20 м на северо-запад от жилого дома по ул. Пограничная, 5а, п. Южно-Морской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2197</w:t>
            </w:r>
          </w:p>
        </w:tc>
      </w:tr>
      <w:tr w:rsidR="007F3835" w:rsidRPr="007F3835" w:rsidTr="00BF5629">
        <w:trPr>
          <w:trHeight w:val="10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монумента жителям села Анна, павшим в сражениях Великой Отечественной войны 1941 - 1945 г.г., 46 м на юго-запад от жилого дома по ул. Набережная,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4648</w:t>
            </w:r>
          </w:p>
        </w:tc>
      </w:tr>
      <w:tr w:rsidR="007F3835" w:rsidRPr="007F3835" w:rsidTr="00BF5629">
        <w:trPr>
          <w:trHeight w:val="56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проспект, 9, 12 м на восток от жилого дома по Восточному пр.,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4430</w:t>
            </w:r>
          </w:p>
        </w:tc>
      </w:tr>
      <w:tr w:rsidR="007F3835" w:rsidRPr="007F3835" w:rsidTr="00BF5629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Сквер, Восточный пр., 11 - 17, 19 м на юго-восток от жилого дома по Восточному пр.,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</w:t>
            </w:r>
          </w:p>
        </w:tc>
      </w:tr>
      <w:tr w:rsidR="007F3835" w:rsidRPr="007F3835" w:rsidTr="00BF5629">
        <w:trPr>
          <w:trHeight w:val="5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"Каскад"  Восточный пр., 33, 10 м на юг от жилого дома по Восточному пр., 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4067</w:t>
            </w:r>
          </w:p>
        </w:tc>
      </w:tr>
      <w:tr w:rsidR="007F3835" w:rsidRPr="007F3835" w:rsidTr="00BF5629">
        <w:trPr>
          <w:trHeight w:val="1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мемориального комплекса жителям села Козьмино, павшим в сражениях Великой Отечественной войны 1941 - 1945 г.г., ул. Первостроителей, 30 м на север от здания по ул.Первостроителей, 3а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7890,3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7937</w:t>
            </w:r>
          </w:p>
        </w:tc>
      </w:tr>
      <w:tr w:rsidR="007F3835" w:rsidRPr="007F3835" w:rsidTr="00BF5629">
        <w:trPr>
          <w:trHeight w:val="11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в районе мемориала жителям поселка Врангель, павшим в сражениях Великой Отечественной войны 1941 - 1945 г.г., 20 м на северо-запад от жилого дома по ул. Бабкина,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4607,7</w:t>
            </w:r>
          </w:p>
        </w:tc>
      </w:tr>
      <w:tr w:rsidR="007F3835" w:rsidRPr="007F3835" w:rsidTr="00BF5629">
        <w:trPr>
          <w:trHeight w:val="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 Находка, пляж Волна, 450 м на юго-восток от санатория по ул.Шоссейной, 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76850</w:t>
            </w:r>
          </w:p>
        </w:tc>
      </w:tr>
      <w:tr w:rsidR="007F3835" w:rsidRPr="007F3835" w:rsidTr="00BF5629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6,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1869</w:t>
            </w:r>
          </w:p>
        </w:tc>
      </w:tr>
      <w:tr w:rsidR="007F3835" w:rsidRPr="007F3835" w:rsidTr="00BF5629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Видовая площадка № 7, 140 м на северо-восток от жилого дома по ул. Седова,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Сквер в районе ул.Свердлова, 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7105</w:t>
            </w:r>
          </w:p>
        </w:tc>
      </w:tr>
      <w:tr w:rsidR="007F3835" w:rsidRPr="007F3835" w:rsidTr="00BF5629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ул.Верхне-Морская 1, 12 м на восток от жилого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F3835" w:rsidRPr="007F3835" w:rsidTr="00BF5629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Постышева-Дзержинского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</w:tr>
      <w:tr w:rsidR="007F3835" w:rsidRPr="007F3835" w:rsidTr="00BF5629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пл.Совершеннолетия-Портовая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Лермонтова-Парковая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пр-т,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Луначарского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Пирогова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Откос у магазина «Татьяна»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Сквер «Камень дружбы породненных городов Находка-Майдзуру» и прилегающая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21372,2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Пешеходная зона бульвара Энтузиастов МЖК в г.Находка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левого берега р. Каменка /Находкинский пр. от угла здания  ул. Озерный № 12 до моста ул. Постышева/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14875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вдоль правого берега р. Каменка /прогулочная зона от здания ул. Малиновского, 32 до пер. Низменный/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Находкинский пр. /от Центральной площади до ТЦ «Тихоокеанский» с 2-х сторон/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у  КПП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Цветники в сквере ул. Спортивная, 16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Цветник в сквере ост. «Р/порт» Находкинский пр. 66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Вазоны из искусственного камня /0,9м2 х 46шт./+29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на подпорной стенке в районе а/остановки «Ленинская»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«Композиция» 1,81 м *5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F3835" w:rsidRPr="007F3835" w:rsidTr="00BF5629">
        <w:trPr>
          <w:trHeight w:val="2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Декоративные  кустарники: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одиночные кустарники /по городу/; шт.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кустарника «живая изгородь» от КПП до а/остановки «Тихоокеанская»/; м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сирени; дерена  (в районе ул. Малиновского, 1а-4а; в районе ул. Озерная, 12) шт./м кв.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кедра; м кв.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декоративного кустарника вдоль р. Каменка /вдоль Находкинского пр./сирень, дерен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1796/726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3490/2751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6117/4639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Владивостокская, 14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розы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Цветники  в мкр. п Врангель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-декоративный кустарник (живая изгородь)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594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</w:t>
            </w:r>
          </w:p>
        </w:tc>
      </w:tr>
      <w:tr w:rsidR="007F3835" w:rsidRPr="007F3835" w:rsidTr="00BF5629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в мкр. Ливадия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-декоративный кустарник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Объемная клумба «Павлин»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/туловище-160 м2;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хвост- 275 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</w:tr>
      <w:tr w:rsidR="007F3835" w:rsidRPr="007F3835" w:rsidTr="00BF5629">
        <w:trPr>
          <w:trHeight w:val="4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вазоны стеклопластиковые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/0,716 м2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шт./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7F3835" w:rsidRPr="007F3835" w:rsidTr="00BF5629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ж/бетонные вазоны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0,8м2/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в районе гостиницы «Юань Дунь»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пр. Мира /напротив рынка «Балкия»/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Цветник «Змейка», расположенный вдоль пр. Мира в районе ж/домов № 30 – 32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50/417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Мобильные цветники «мостик» /1,3 м х 0,3м х 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Альпинарий на   Озерном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бульваре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посадки кустарника (спирея) шт./м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100/135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Ж/бетонные вазоны, расположенные в районе стадиона «Водник» /18шт.*1,1м2/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Цветник, расположенный в районе перекрестка «Северный проспект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Перевальная»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(вейгела)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Вазон «Бабочка» /0,2м2 х 16 шт./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Дальняя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Декоративный сквер /разворотное кольцо/, расположенный по ул. Перевальная – ул. Шевченко – Находкинский пр. /в районе МБОУ СШ № 7 по ул. Шевченко, 1/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цветник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посадки можжевельника, форзиции, барбариса и елочек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</w:tr>
      <w:tr w:rsidR="007F3835" w:rsidRPr="007F3835" w:rsidTr="00BF5629">
        <w:trPr>
          <w:trHeight w:val="1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подлежащие  уборке,  после проведения общегородских праздничных мероприятий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площадь МЦК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стадион «Водник»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7F3835" w:rsidRPr="007F3835" w:rsidTr="00BF5629">
        <w:trPr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ул.Луначарского,1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посадки можжевельника и барбариса;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F3835" w:rsidRPr="007F3835" w:rsidTr="00BF5629">
        <w:trPr>
          <w:trHeight w:val="8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«Змейка» откос вдоль Находкинского пр.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(р-он Заводская)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</w:tr>
      <w:tr w:rsidR="007F3835" w:rsidRPr="007F3835" w:rsidTr="00BF5629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«Змейка» откос МУК (театр кукол)   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летники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вейгела, сирень, луизиания)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декоративные  посадки спирея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40/2004</w:t>
            </w:r>
          </w:p>
        </w:tc>
      </w:tr>
      <w:tr w:rsidR="007F3835" w:rsidRPr="007F3835" w:rsidTr="00BF5629">
        <w:trPr>
          <w:trHeight w:val="1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 р-не перекреста пр-т Мира – Находкинский пр.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летники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многолетники (хоста)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декоративные групповые посадки кустарника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F3835" w:rsidRPr="007F3835" w:rsidTr="00BF5629">
        <w:trPr>
          <w:trHeight w:val="8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на откосе  /вдоль Находкинского пр. от магазина» Синтез» до магазина «Цветы»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-можжевельник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Зеленая зона вдоль пр. Мира /четная сторона/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 вдоль Находкинского пр. /со стороны ж/д вокзала «ст. Тихоокеанская»/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F3835" w:rsidRPr="007F3835" w:rsidTr="00BF5629">
        <w:trPr>
          <w:trHeight w:val="4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Сопка Тобольская 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альпинарий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 зона  в районе а/вокзала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декоративные посадки кустарника (спирея)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Рабатки на Находкинском пр-те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«Орден» и «Фейерверк» в р-не КПП на пл.Совершеннолетия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138,5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Цветник «Находка 70» в р-не ВГУЭС</w:t>
            </w: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Посадки елей и сирени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«Коровий», 185 м на юго-запад от здания по Восточному пр., 23а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24816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Залив Находка, пляж  «Прикумск», 260 м на юго-запад от здания по Приморскому пр.,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10737</w:t>
            </w:r>
          </w:p>
        </w:tc>
      </w:tr>
      <w:tr w:rsidR="007F3835" w:rsidRPr="007F3835" w:rsidTr="00BF5629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сквер 356 м на юго-восток от здания по адресу: г.Находка, мкр. Врангель, Приморский пр-т,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5368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835" w:rsidRPr="007F3835" w:rsidRDefault="007F3835" w:rsidP="00BF5629">
            <w:pPr>
              <w:tabs>
                <w:tab w:val="left" w:pos="10348"/>
              </w:tabs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38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5368,5</w:t>
            </w:r>
          </w:p>
        </w:tc>
      </w:tr>
    </w:tbl>
    <w:p w:rsidR="007F3835" w:rsidRPr="007F3835" w:rsidRDefault="007F3835" w:rsidP="00BF5629">
      <w:pPr>
        <w:tabs>
          <w:tab w:val="left" w:pos="10348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38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p w:rsidR="007F3835" w:rsidRPr="007F3835" w:rsidRDefault="007F3835" w:rsidP="00BF5629">
      <w:pPr>
        <w:tabs>
          <w:tab w:val="left" w:pos="10348"/>
        </w:tabs>
        <w:suppressAutoHyphens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7F3835" w:rsidRPr="007F3835" w:rsidTr="0028169C">
        <w:tc>
          <w:tcPr>
            <w:tcW w:w="5495" w:type="dxa"/>
          </w:tcPr>
          <w:p w:rsidR="007F3835" w:rsidRPr="007F3835" w:rsidRDefault="007F3835" w:rsidP="007F38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94" w:type="dxa"/>
          </w:tcPr>
          <w:p w:rsidR="007F3835" w:rsidRPr="007F3835" w:rsidRDefault="007F3835" w:rsidP="00F878A8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7F3835">
              <w:rPr>
                <w:rFonts w:ascii="Times New Roman" w:hAnsi="Times New Roman" w:cs="Times New Roman"/>
                <w:szCs w:val="26"/>
              </w:rPr>
              <w:t>Приложение № 6</w:t>
            </w:r>
          </w:p>
          <w:p w:rsidR="00A37271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A37271" w:rsidRDefault="0028169C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28169C" w:rsidP="00F878A8">
            <w:pPr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№1093</w:t>
            </w:r>
          </w:p>
        </w:tc>
      </w:tr>
    </w:tbl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(предварительный)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лестниц и пешеходных зон, расположенных на территории общего пользования Находкинского городского округа, подлежащих ремонту и реконструкции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8"/>
        <w:tblW w:w="9889" w:type="dxa"/>
        <w:tblLook w:val="04A0" w:firstRow="1" w:lastRow="0" w:firstColumn="1" w:lastColumn="0" w:noHBand="0" w:noVBand="1"/>
      </w:tblPr>
      <w:tblGrid>
        <w:gridCol w:w="773"/>
        <w:gridCol w:w="5600"/>
        <w:gridCol w:w="3516"/>
      </w:tblGrid>
      <w:tr w:rsidR="007F3835" w:rsidRPr="007F3835" w:rsidTr="0028169C">
        <w:tc>
          <w:tcPr>
            <w:tcW w:w="773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00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Адресная привязка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Год реализации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Лестница по ул.Арсеньева от д.8 к д.9,10</w:t>
            </w:r>
          </w:p>
        </w:tc>
        <w:tc>
          <w:tcPr>
            <w:tcW w:w="3516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2021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Пешеходная зона на р.Каменка (от моста к пр-ту Мира до моста к ул.Постышева)</w:t>
            </w:r>
          </w:p>
        </w:tc>
        <w:tc>
          <w:tcPr>
            <w:tcW w:w="3516" w:type="dxa"/>
            <w:vAlign w:val="center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2021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Лестница по ул.Рыбацкая, д.17-19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2022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Лестница возле ресторанно-гостиничного комплекса «Горизонт»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2022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Лестница по ул.Пограничной, возле домов 24-26, 26-28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2023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 xml:space="preserve">Лестница по ул.Постышева в районе магазина «Американка» к ул.Врубеля 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</w:p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2024</w:t>
            </w:r>
          </w:p>
        </w:tc>
      </w:tr>
      <w:tr w:rsidR="007F3835" w:rsidRPr="007F3835" w:rsidTr="0028169C">
        <w:tc>
          <w:tcPr>
            <w:tcW w:w="773" w:type="dxa"/>
            <w:vAlign w:val="center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00" w:type="dxa"/>
            <w:vAlign w:val="center"/>
          </w:tcPr>
          <w:p w:rsidR="007F3835" w:rsidRPr="007F3835" w:rsidRDefault="007F3835" w:rsidP="007F3835">
            <w:pPr>
              <w:suppressAutoHyphens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Лестница к колледжу НГГПК от ул.Врубеля</w:t>
            </w:r>
          </w:p>
        </w:tc>
        <w:tc>
          <w:tcPr>
            <w:tcW w:w="3516" w:type="dxa"/>
          </w:tcPr>
          <w:p w:rsidR="007F3835" w:rsidRPr="007F3835" w:rsidRDefault="007F3835" w:rsidP="007F3835">
            <w:pPr>
              <w:jc w:val="center"/>
              <w:rPr>
                <w:rFonts w:ascii="Times New Roman" w:hAnsi="Times New Roman" w:cs="Times New Roman"/>
              </w:rPr>
            </w:pPr>
            <w:r w:rsidRPr="007F3835"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F3835" w:rsidRPr="007F3835" w:rsidRDefault="007F3835" w:rsidP="007F38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7F3835" w:rsidRDefault="007F3835" w:rsidP="007F3835">
      <w:r w:rsidRPr="007F3835">
        <w:br w:type="page"/>
      </w:r>
    </w:p>
    <w:tbl>
      <w:tblPr>
        <w:tblStyle w:val="a3"/>
        <w:tblW w:w="10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57"/>
      </w:tblGrid>
      <w:tr w:rsidR="007F3835" w:rsidRPr="007F3835" w:rsidTr="00BF5629">
        <w:tc>
          <w:tcPr>
            <w:tcW w:w="5211" w:type="dxa"/>
          </w:tcPr>
          <w:p w:rsidR="007F3835" w:rsidRPr="007F3835" w:rsidRDefault="007F3835" w:rsidP="007F3835">
            <w:pPr>
              <w:suppressAutoHyphens/>
              <w:jc w:val="both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</w:p>
        </w:tc>
        <w:tc>
          <w:tcPr>
            <w:tcW w:w="4857" w:type="dxa"/>
          </w:tcPr>
          <w:p w:rsidR="00F878A8" w:rsidRPr="007F3835" w:rsidRDefault="00F878A8" w:rsidP="00F878A8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 w:rsidRPr="007F3835">
              <w:rPr>
                <w:rFonts w:ascii="Times New Roman" w:hAnsi="Times New Roman" w:cs="Times New Roman"/>
                <w:szCs w:val="26"/>
              </w:rPr>
              <w:t>Приложение № 6</w:t>
            </w:r>
          </w:p>
          <w:p w:rsidR="00F878A8" w:rsidRDefault="00F878A8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«Благоустройство территории Находкинского городского округа»</w:t>
            </w:r>
          </w:p>
          <w:p w:rsidR="00F878A8" w:rsidRDefault="00F878A8" w:rsidP="00F878A8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2021-2024 годы, утвержденной постановлением администрации Находкинского городского округа</w:t>
            </w:r>
          </w:p>
          <w:p w:rsidR="007F3835" w:rsidRPr="007F3835" w:rsidRDefault="00F878A8" w:rsidP="00F878A8">
            <w:pPr>
              <w:suppressAutoHyphens/>
              <w:jc w:val="center"/>
              <w:rPr>
                <w:rFonts w:ascii="Times New Roman" w:hAnsi="Times New Roman" w:cs="Times New Roman"/>
                <w:b/>
                <w:szCs w:val="26"/>
                <w:highlight w:val="yellow"/>
              </w:rPr>
            </w:pPr>
            <w:r w:rsidRPr="00BF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16.10.2020 №1093</w:t>
            </w:r>
          </w:p>
        </w:tc>
      </w:tr>
    </w:tbl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выявленных объектов культурного наследия </w:t>
      </w:r>
    </w:p>
    <w:p w:rsidR="007F3835" w:rsidRPr="007F3835" w:rsidRDefault="007F3835" w:rsidP="007F38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38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местного (муниципального) значения</w:t>
      </w:r>
    </w:p>
    <w:p w:rsidR="007F3835" w:rsidRPr="007F3835" w:rsidRDefault="007F3835" w:rsidP="007F38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63"/>
        <w:gridCol w:w="4162"/>
        <w:gridCol w:w="2688"/>
        <w:gridCol w:w="2093"/>
      </w:tblGrid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Выявленный объект культурного наследия местного (муниципального) значения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Адресная привязка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835" w:rsidRPr="007F3835" w:rsidTr="007F3835">
        <w:trPr>
          <w:trHeight w:val="1127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жителям </w:t>
            </w:r>
          </w:p>
          <w:p w:rsidR="007F3835" w:rsidRPr="007F3835" w:rsidRDefault="007F3835" w:rsidP="007F3835">
            <w:pPr>
              <w:suppressAutoHyphens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села Душкино,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с. Душкино, в районе ул. Беляева, д.1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F878A8">
        <w:trPr>
          <w:trHeight w:val="1411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В.И. Ленину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 Центральная площадь, в районе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пр. Находкинский, д. 16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7F3835">
        <w:trPr>
          <w:trHeight w:val="609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Захоронение Е.Н. Порошина, Героя Моравии и Словакии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старое городское кладбище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F3835" w:rsidRPr="007F3835" w:rsidTr="007F3835">
        <w:trPr>
          <w:trHeight w:val="1184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Бюст Шалвы Георгиевича Надибаидзе, возглавлявшего рыбную промышленность на Дальнем Востоке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Южно-Морской, в районе ул. Центральная д.4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воинам  – землякам, погибшим в годы Великой Отечественной войны (1941-1945 гг.)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 Южно-Морской, ул. Победы, в зеленой зоне у средней школы №27 по ул. Комсомольская, 2А.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7F3835">
        <w:trPr>
          <w:trHeight w:val="960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Монумент жителям села Анна,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бухта Анна, в районе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ул. Набережная,3а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F878A8">
        <w:trPr>
          <w:trHeight w:val="791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Средняя,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Средняя, в районе ул. Колхозная д.14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835" w:rsidRPr="007F3835" w:rsidTr="00F878A8">
        <w:trPr>
          <w:trHeight w:val="802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воинам-тихоокеанцам,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территория СОШ № 14, пр. Мира, 24 Б.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rPr>
          <w:trHeight w:val="1009"/>
        </w:trPr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Ливадия,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 Находка, п. Ливадия, площадь у здания Дома  культуры.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Козьмино,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Находка, п. Врангель, в районе  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ул. Первостроителей д.3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Мемориал жителям поселка Врангель, павшим в сражениях Великой Отечественной войны 1941-1945 гг.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п. Врангель, в районе пр. Восточный, д. 17</w:t>
            </w:r>
          </w:p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Скульптура Женщина с птицей «Мир», установленная в честь 30-летия породнения городов Находка и Майдзуру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г. Находка, ул. Владивостокская, у дома № 6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3835" w:rsidRPr="007F3835" w:rsidTr="007F3835">
        <w:tc>
          <w:tcPr>
            <w:tcW w:w="663" w:type="dxa"/>
          </w:tcPr>
          <w:p w:rsidR="007F3835" w:rsidRPr="007F3835" w:rsidRDefault="007F3835" w:rsidP="007F383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Памятник героическому труду рабочих рыбокомбината «Тафуин» в годы Великой Отечественной войны</w:t>
            </w:r>
          </w:p>
        </w:tc>
        <w:tc>
          <w:tcPr>
            <w:tcW w:w="2688" w:type="dxa"/>
          </w:tcPr>
          <w:p w:rsidR="007F3835" w:rsidRPr="007F3835" w:rsidRDefault="007F3835" w:rsidP="007F3835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Находкинский городской округ, п. Южно-Морской, на территории базы ЗАО «Южморрыбфлот», в районе дома по ул. Заводская, 18</w:t>
            </w:r>
          </w:p>
        </w:tc>
        <w:tc>
          <w:tcPr>
            <w:tcW w:w="2093" w:type="dxa"/>
          </w:tcPr>
          <w:p w:rsidR="007F3835" w:rsidRPr="007F3835" w:rsidRDefault="007F3835" w:rsidP="007F3835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F3835" w:rsidRPr="007F3835" w:rsidRDefault="007F3835" w:rsidP="007F383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835" w:rsidRPr="007F3835" w:rsidRDefault="007F3835" w:rsidP="007F3835"/>
    <w:p w:rsidR="002730C8" w:rsidRDefault="002730C8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A4718A">
      <w:pPr>
        <w:pStyle w:val="ConsPlusNormal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4F74" w:rsidRDefault="001E4F74" w:rsidP="00BF5629">
      <w:pPr>
        <w:pStyle w:val="ConsPlusNormal"/>
        <w:framePr w:w="9925" w:wrap="auto" w:hAnchor="text" w:x="1276"/>
        <w:spacing w:line="360" w:lineRule="auto"/>
        <w:ind w:left="426" w:firstLine="708"/>
        <w:jc w:val="both"/>
        <w:rPr>
          <w:rFonts w:ascii="Times New Roman" w:hAnsi="Times New Roman" w:cs="Times New Roman"/>
          <w:sz w:val="26"/>
          <w:szCs w:val="26"/>
        </w:rPr>
        <w:sectPr w:rsidR="001E4F74" w:rsidSect="00BF5629">
          <w:headerReference w:type="default" r:id="rId15"/>
          <w:pgSz w:w="11905" w:h="16838"/>
          <w:pgMar w:top="851" w:right="706" w:bottom="993" w:left="1560" w:header="0" w:footer="0" w:gutter="0"/>
          <w:cols w:space="720"/>
          <w:titlePg/>
          <w:docGrid w:linePitch="299"/>
        </w:sectPr>
      </w:pPr>
    </w:p>
    <w:p w:rsidR="00466E44" w:rsidRPr="003523A9" w:rsidRDefault="00466E44" w:rsidP="00B73AA7">
      <w:pPr>
        <w:autoSpaceDE w:val="0"/>
        <w:autoSpaceDN w:val="0"/>
        <w:adjustRightInd w:val="0"/>
        <w:spacing w:line="240" w:lineRule="auto"/>
        <w:ind w:left="935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</w:p>
    <w:sectPr w:rsidR="00466E44" w:rsidRPr="003523A9" w:rsidSect="008F357C">
      <w:headerReference w:type="default" r:id="rId16"/>
      <w:pgSz w:w="16838" w:h="11906" w:orient="landscape"/>
      <w:pgMar w:top="993" w:right="709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1D" w:rsidRDefault="0040121D" w:rsidP="006E7B7D">
      <w:pPr>
        <w:spacing w:after="0" w:line="240" w:lineRule="auto"/>
      </w:pPr>
      <w:r>
        <w:separator/>
      </w:r>
    </w:p>
  </w:endnote>
  <w:endnote w:type="continuationSeparator" w:id="0">
    <w:p w:rsidR="0040121D" w:rsidRDefault="0040121D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1D" w:rsidRDefault="0040121D" w:rsidP="006E7B7D">
      <w:pPr>
        <w:spacing w:after="0" w:line="240" w:lineRule="auto"/>
      </w:pPr>
      <w:r>
        <w:separator/>
      </w:r>
    </w:p>
  </w:footnote>
  <w:footnote w:type="continuationSeparator" w:id="0">
    <w:p w:rsidR="0040121D" w:rsidRDefault="0040121D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215406"/>
      <w:docPartObj>
        <w:docPartGallery w:val="Page Numbers (Top of Page)"/>
        <w:docPartUnique/>
      </w:docPartObj>
    </w:sdtPr>
    <w:sdtEndPr/>
    <w:sdtContent>
      <w:p w:rsidR="0040121D" w:rsidRDefault="00401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7C">
          <w:rPr>
            <w:noProof/>
          </w:rPr>
          <w:t>18</w:t>
        </w:r>
        <w:r>
          <w:fldChar w:fldCharType="end"/>
        </w:r>
      </w:p>
    </w:sdtContent>
  </w:sdt>
  <w:p w:rsidR="0040121D" w:rsidRDefault="004012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81943"/>
      <w:docPartObj>
        <w:docPartGallery w:val="Page Numbers (Top of Page)"/>
        <w:docPartUnique/>
      </w:docPartObj>
    </w:sdtPr>
    <w:sdtEndPr/>
    <w:sdtContent>
      <w:p w:rsidR="0040121D" w:rsidRDefault="0040121D">
        <w:pPr>
          <w:pStyle w:val="a4"/>
          <w:jc w:val="center"/>
        </w:pPr>
      </w:p>
      <w:p w:rsidR="0040121D" w:rsidRDefault="00401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7C">
          <w:rPr>
            <w:noProof/>
          </w:rPr>
          <w:t>27</w:t>
        </w:r>
        <w:r>
          <w:fldChar w:fldCharType="end"/>
        </w:r>
      </w:p>
    </w:sdtContent>
  </w:sdt>
  <w:p w:rsidR="0040121D" w:rsidRDefault="0040121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691553"/>
      <w:docPartObj>
        <w:docPartGallery w:val="Page Numbers (Top of Page)"/>
        <w:docPartUnique/>
      </w:docPartObj>
    </w:sdtPr>
    <w:sdtEndPr/>
    <w:sdtContent>
      <w:p w:rsidR="0040121D" w:rsidRDefault="0040121D">
        <w:pPr>
          <w:pStyle w:val="a4"/>
          <w:jc w:val="center"/>
        </w:pPr>
      </w:p>
      <w:p w:rsidR="0040121D" w:rsidRDefault="004012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0121D" w:rsidRDefault="00401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6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1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4"/>
  </w:num>
  <w:num w:numId="5">
    <w:abstractNumId w:val="18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23"/>
  </w:num>
  <w:num w:numId="11">
    <w:abstractNumId w:val="3"/>
  </w:num>
  <w:num w:numId="12">
    <w:abstractNumId w:val="12"/>
  </w:num>
  <w:num w:numId="13">
    <w:abstractNumId w:val="25"/>
  </w:num>
  <w:num w:numId="14">
    <w:abstractNumId w:val="26"/>
  </w:num>
  <w:num w:numId="15">
    <w:abstractNumId w:val="0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19"/>
  </w:num>
  <w:num w:numId="21">
    <w:abstractNumId w:val="13"/>
  </w:num>
  <w:num w:numId="22">
    <w:abstractNumId w:val="17"/>
  </w:num>
  <w:num w:numId="23">
    <w:abstractNumId w:val="22"/>
  </w:num>
  <w:num w:numId="24">
    <w:abstractNumId w:val="4"/>
  </w:num>
  <w:num w:numId="25">
    <w:abstractNumId w:val="9"/>
  </w:num>
  <w:num w:numId="26">
    <w:abstractNumId w:val="16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D8"/>
    <w:rsid w:val="000029F5"/>
    <w:rsid w:val="00002BF1"/>
    <w:rsid w:val="00010273"/>
    <w:rsid w:val="00011C3B"/>
    <w:rsid w:val="000150EF"/>
    <w:rsid w:val="00015AA3"/>
    <w:rsid w:val="00016DF2"/>
    <w:rsid w:val="00017145"/>
    <w:rsid w:val="0001768D"/>
    <w:rsid w:val="00021A15"/>
    <w:rsid w:val="000371CC"/>
    <w:rsid w:val="0004085A"/>
    <w:rsid w:val="0004114A"/>
    <w:rsid w:val="00043666"/>
    <w:rsid w:val="00051791"/>
    <w:rsid w:val="000532C7"/>
    <w:rsid w:val="000538A4"/>
    <w:rsid w:val="00053F6B"/>
    <w:rsid w:val="000549E4"/>
    <w:rsid w:val="00054BA7"/>
    <w:rsid w:val="00062E13"/>
    <w:rsid w:val="00067740"/>
    <w:rsid w:val="0007047D"/>
    <w:rsid w:val="00073D8C"/>
    <w:rsid w:val="000742C4"/>
    <w:rsid w:val="00074B68"/>
    <w:rsid w:val="00074B76"/>
    <w:rsid w:val="000753C7"/>
    <w:rsid w:val="000756D4"/>
    <w:rsid w:val="000776F9"/>
    <w:rsid w:val="00082313"/>
    <w:rsid w:val="00082B66"/>
    <w:rsid w:val="00083A7F"/>
    <w:rsid w:val="00092D37"/>
    <w:rsid w:val="0009394B"/>
    <w:rsid w:val="000942E8"/>
    <w:rsid w:val="00095448"/>
    <w:rsid w:val="000A6A92"/>
    <w:rsid w:val="000A718B"/>
    <w:rsid w:val="000B06CF"/>
    <w:rsid w:val="000B469A"/>
    <w:rsid w:val="000B5161"/>
    <w:rsid w:val="000B5F2E"/>
    <w:rsid w:val="000C57B1"/>
    <w:rsid w:val="000C79E0"/>
    <w:rsid w:val="000D3F4B"/>
    <w:rsid w:val="000E195C"/>
    <w:rsid w:val="000F4BA4"/>
    <w:rsid w:val="00102361"/>
    <w:rsid w:val="001053E5"/>
    <w:rsid w:val="00107A39"/>
    <w:rsid w:val="00112716"/>
    <w:rsid w:val="0012188B"/>
    <w:rsid w:val="00126B9B"/>
    <w:rsid w:val="001315CB"/>
    <w:rsid w:val="001328F8"/>
    <w:rsid w:val="001370AA"/>
    <w:rsid w:val="001370EC"/>
    <w:rsid w:val="00141E54"/>
    <w:rsid w:val="0014496C"/>
    <w:rsid w:val="00153499"/>
    <w:rsid w:val="00154126"/>
    <w:rsid w:val="001551D7"/>
    <w:rsid w:val="0016287C"/>
    <w:rsid w:val="0016485A"/>
    <w:rsid w:val="001648DE"/>
    <w:rsid w:val="001704A8"/>
    <w:rsid w:val="00170973"/>
    <w:rsid w:val="001752C6"/>
    <w:rsid w:val="001804A7"/>
    <w:rsid w:val="001821B9"/>
    <w:rsid w:val="001823DC"/>
    <w:rsid w:val="00182ADE"/>
    <w:rsid w:val="00186802"/>
    <w:rsid w:val="001876FE"/>
    <w:rsid w:val="0019118D"/>
    <w:rsid w:val="00195C00"/>
    <w:rsid w:val="001A0CD2"/>
    <w:rsid w:val="001A3D9B"/>
    <w:rsid w:val="001A3E09"/>
    <w:rsid w:val="001A3FE1"/>
    <w:rsid w:val="001A6AAA"/>
    <w:rsid w:val="001A7AF6"/>
    <w:rsid w:val="001B01F2"/>
    <w:rsid w:val="001B474E"/>
    <w:rsid w:val="001B6A38"/>
    <w:rsid w:val="001C04C9"/>
    <w:rsid w:val="001C2C4E"/>
    <w:rsid w:val="001C39FD"/>
    <w:rsid w:val="001C3AAC"/>
    <w:rsid w:val="001D1040"/>
    <w:rsid w:val="001D1CB2"/>
    <w:rsid w:val="001D257A"/>
    <w:rsid w:val="001D6DC1"/>
    <w:rsid w:val="001E4F74"/>
    <w:rsid w:val="001F2188"/>
    <w:rsid w:val="001F234D"/>
    <w:rsid w:val="00200FC6"/>
    <w:rsid w:val="002053DC"/>
    <w:rsid w:val="00207FB2"/>
    <w:rsid w:val="00210FC4"/>
    <w:rsid w:val="00212177"/>
    <w:rsid w:val="002121C3"/>
    <w:rsid w:val="0021279D"/>
    <w:rsid w:val="00213906"/>
    <w:rsid w:val="00216AA1"/>
    <w:rsid w:val="002176DD"/>
    <w:rsid w:val="002215A0"/>
    <w:rsid w:val="00222207"/>
    <w:rsid w:val="002224DD"/>
    <w:rsid w:val="00233B51"/>
    <w:rsid w:val="00233BCA"/>
    <w:rsid w:val="002357A8"/>
    <w:rsid w:val="00236E71"/>
    <w:rsid w:val="00242665"/>
    <w:rsid w:val="00253CFA"/>
    <w:rsid w:val="0025479A"/>
    <w:rsid w:val="00256C97"/>
    <w:rsid w:val="00260363"/>
    <w:rsid w:val="0027217E"/>
    <w:rsid w:val="002730C8"/>
    <w:rsid w:val="0027351B"/>
    <w:rsid w:val="0027377D"/>
    <w:rsid w:val="0028169C"/>
    <w:rsid w:val="00281FE5"/>
    <w:rsid w:val="00282477"/>
    <w:rsid w:val="00284715"/>
    <w:rsid w:val="00284D09"/>
    <w:rsid w:val="002A1191"/>
    <w:rsid w:val="002A2095"/>
    <w:rsid w:val="002A7F69"/>
    <w:rsid w:val="002B444C"/>
    <w:rsid w:val="002C18B1"/>
    <w:rsid w:val="002C717E"/>
    <w:rsid w:val="002D1387"/>
    <w:rsid w:val="002D3922"/>
    <w:rsid w:val="002D4BB0"/>
    <w:rsid w:val="002E0E59"/>
    <w:rsid w:val="002E1709"/>
    <w:rsid w:val="002E638C"/>
    <w:rsid w:val="002E6633"/>
    <w:rsid w:val="002F0D2B"/>
    <w:rsid w:val="002F0E4C"/>
    <w:rsid w:val="002F28D6"/>
    <w:rsid w:val="002F2D87"/>
    <w:rsid w:val="002F4324"/>
    <w:rsid w:val="0031112C"/>
    <w:rsid w:val="0031493C"/>
    <w:rsid w:val="00316A9D"/>
    <w:rsid w:val="003206B0"/>
    <w:rsid w:val="00321541"/>
    <w:rsid w:val="00324138"/>
    <w:rsid w:val="00324FF2"/>
    <w:rsid w:val="003328D6"/>
    <w:rsid w:val="003342B7"/>
    <w:rsid w:val="00334F2E"/>
    <w:rsid w:val="00335126"/>
    <w:rsid w:val="003352CD"/>
    <w:rsid w:val="00335430"/>
    <w:rsid w:val="0033760D"/>
    <w:rsid w:val="003428A4"/>
    <w:rsid w:val="003435ED"/>
    <w:rsid w:val="003507C2"/>
    <w:rsid w:val="00350F0B"/>
    <w:rsid w:val="00351FC3"/>
    <w:rsid w:val="003523A9"/>
    <w:rsid w:val="0035453A"/>
    <w:rsid w:val="003606AF"/>
    <w:rsid w:val="003672E6"/>
    <w:rsid w:val="003700AF"/>
    <w:rsid w:val="00370C0B"/>
    <w:rsid w:val="00373A78"/>
    <w:rsid w:val="00376246"/>
    <w:rsid w:val="00382767"/>
    <w:rsid w:val="00384C57"/>
    <w:rsid w:val="00390DF8"/>
    <w:rsid w:val="00396590"/>
    <w:rsid w:val="00396634"/>
    <w:rsid w:val="0039757E"/>
    <w:rsid w:val="003A161E"/>
    <w:rsid w:val="003A27C6"/>
    <w:rsid w:val="003A2D81"/>
    <w:rsid w:val="003A337B"/>
    <w:rsid w:val="003A53A3"/>
    <w:rsid w:val="003A78EA"/>
    <w:rsid w:val="003C0CB0"/>
    <w:rsid w:val="003C6793"/>
    <w:rsid w:val="003C7AC9"/>
    <w:rsid w:val="003D1431"/>
    <w:rsid w:val="003D2609"/>
    <w:rsid w:val="003D625F"/>
    <w:rsid w:val="003D793E"/>
    <w:rsid w:val="003E71A9"/>
    <w:rsid w:val="003F107E"/>
    <w:rsid w:val="003F31F5"/>
    <w:rsid w:val="003F616C"/>
    <w:rsid w:val="003F7442"/>
    <w:rsid w:val="0040121D"/>
    <w:rsid w:val="00405CAF"/>
    <w:rsid w:val="0040702B"/>
    <w:rsid w:val="00411E68"/>
    <w:rsid w:val="00415DAF"/>
    <w:rsid w:val="00416517"/>
    <w:rsid w:val="004216DF"/>
    <w:rsid w:val="00423D8E"/>
    <w:rsid w:val="00433B9B"/>
    <w:rsid w:val="00435E9B"/>
    <w:rsid w:val="00437FD6"/>
    <w:rsid w:val="0044174A"/>
    <w:rsid w:val="00441807"/>
    <w:rsid w:val="004422D6"/>
    <w:rsid w:val="00444FFB"/>
    <w:rsid w:val="004463F5"/>
    <w:rsid w:val="00454709"/>
    <w:rsid w:val="0046258C"/>
    <w:rsid w:val="0046541C"/>
    <w:rsid w:val="00466E44"/>
    <w:rsid w:val="004671BA"/>
    <w:rsid w:val="00467E66"/>
    <w:rsid w:val="00473510"/>
    <w:rsid w:val="004815A8"/>
    <w:rsid w:val="004844F7"/>
    <w:rsid w:val="004849A9"/>
    <w:rsid w:val="00485E8C"/>
    <w:rsid w:val="004913CF"/>
    <w:rsid w:val="004B505E"/>
    <w:rsid w:val="004B6C35"/>
    <w:rsid w:val="004C1A4C"/>
    <w:rsid w:val="004D5F7A"/>
    <w:rsid w:val="004D752C"/>
    <w:rsid w:val="004E033B"/>
    <w:rsid w:val="004E3857"/>
    <w:rsid w:val="004F1489"/>
    <w:rsid w:val="004F2FB9"/>
    <w:rsid w:val="005014F0"/>
    <w:rsid w:val="005100B0"/>
    <w:rsid w:val="0051311D"/>
    <w:rsid w:val="005162E2"/>
    <w:rsid w:val="005207BE"/>
    <w:rsid w:val="00522859"/>
    <w:rsid w:val="0052513E"/>
    <w:rsid w:val="00526745"/>
    <w:rsid w:val="00530022"/>
    <w:rsid w:val="005342A5"/>
    <w:rsid w:val="00534C73"/>
    <w:rsid w:val="00535EC3"/>
    <w:rsid w:val="00545207"/>
    <w:rsid w:val="00547E9A"/>
    <w:rsid w:val="005517A8"/>
    <w:rsid w:val="00552C18"/>
    <w:rsid w:val="00553645"/>
    <w:rsid w:val="005570BC"/>
    <w:rsid w:val="005604C8"/>
    <w:rsid w:val="005616B5"/>
    <w:rsid w:val="00563296"/>
    <w:rsid w:val="00565165"/>
    <w:rsid w:val="00573DE5"/>
    <w:rsid w:val="00575276"/>
    <w:rsid w:val="005756D1"/>
    <w:rsid w:val="00577CE3"/>
    <w:rsid w:val="00577DD9"/>
    <w:rsid w:val="00577E51"/>
    <w:rsid w:val="00577F9C"/>
    <w:rsid w:val="00581CA4"/>
    <w:rsid w:val="0058244B"/>
    <w:rsid w:val="00583E96"/>
    <w:rsid w:val="005902FF"/>
    <w:rsid w:val="00590615"/>
    <w:rsid w:val="005917C9"/>
    <w:rsid w:val="005933C5"/>
    <w:rsid w:val="00594ACA"/>
    <w:rsid w:val="0059544F"/>
    <w:rsid w:val="005A3C32"/>
    <w:rsid w:val="005A4AE1"/>
    <w:rsid w:val="005A67FB"/>
    <w:rsid w:val="005B6CE8"/>
    <w:rsid w:val="005C1BC2"/>
    <w:rsid w:val="005C3168"/>
    <w:rsid w:val="005D1875"/>
    <w:rsid w:val="005D47DD"/>
    <w:rsid w:val="005E0F48"/>
    <w:rsid w:val="005E1819"/>
    <w:rsid w:val="005E39DC"/>
    <w:rsid w:val="005E60B4"/>
    <w:rsid w:val="005E7EBF"/>
    <w:rsid w:val="005F116E"/>
    <w:rsid w:val="005F380C"/>
    <w:rsid w:val="005F4E38"/>
    <w:rsid w:val="0060647E"/>
    <w:rsid w:val="006072BE"/>
    <w:rsid w:val="006122B0"/>
    <w:rsid w:val="00615F7A"/>
    <w:rsid w:val="0061729F"/>
    <w:rsid w:val="006175E8"/>
    <w:rsid w:val="00620A1A"/>
    <w:rsid w:val="00623EB1"/>
    <w:rsid w:val="00625E19"/>
    <w:rsid w:val="00626CB1"/>
    <w:rsid w:val="00627269"/>
    <w:rsid w:val="00632FDA"/>
    <w:rsid w:val="006334D6"/>
    <w:rsid w:val="006350E5"/>
    <w:rsid w:val="00637098"/>
    <w:rsid w:val="006407FD"/>
    <w:rsid w:val="006475C4"/>
    <w:rsid w:val="006525ED"/>
    <w:rsid w:val="00654BED"/>
    <w:rsid w:val="006616BA"/>
    <w:rsid w:val="0066268B"/>
    <w:rsid w:val="006642AE"/>
    <w:rsid w:val="00664E23"/>
    <w:rsid w:val="00665E26"/>
    <w:rsid w:val="006668F1"/>
    <w:rsid w:val="00666F36"/>
    <w:rsid w:val="00670181"/>
    <w:rsid w:val="0067254A"/>
    <w:rsid w:val="00677166"/>
    <w:rsid w:val="00684519"/>
    <w:rsid w:val="0069088F"/>
    <w:rsid w:val="00695DF4"/>
    <w:rsid w:val="006A216E"/>
    <w:rsid w:val="006A4CBA"/>
    <w:rsid w:val="006A5A8F"/>
    <w:rsid w:val="006B38FE"/>
    <w:rsid w:val="006C1C05"/>
    <w:rsid w:val="006D082E"/>
    <w:rsid w:val="006D589A"/>
    <w:rsid w:val="006D5F03"/>
    <w:rsid w:val="006E03F6"/>
    <w:rsid w:val="006E07BD"/>
    <w:rsid w:val="006E23DC"/>
    <w:rsid w:val="006E7B7D"/>
    <w:rsid w:val="006F0BAA"/>
    <w:rsid w:val="006F540D"/>
    <w:rsid w:val="006F62DA"/>
    <w:rsid w:val="006F7EE0"/>
    <w:rsid w:val="007005DA"/>
    <w:rsid w:val="00701BC9"/>
    <w:rsid w:val="0070273D"/>
    <w:rsid w:val="00703EEE"/>
    <w:rsid w:val="00707F57"/>
    <w:rsid w:val="00710570"/>
    <w:rsid w:val="00716404"/>
    <w:rsid w:val="00724EA1"/>
    <w:rsid w:val="0073200E"/>
    <w:rsid w:val="007425AB"/>
    <w:rsid w:val="00744993"/>
    <w:rsid w:val="00744D9B"/>
    <w:rsid w:val="0074560E"/>
    <w:rsid w:val="0074680D"/>
    <w:rsid w:val="007566AB"/>
    <w:rsid w:val="007571D8"/>
    <w:rsid w:val="00763E0F"/>
    <w:rsid w:val="00764E72"/>
    <w:rsid w:val="00766E66"/>
    <w:rsid w:val="00771A93"/>
    <w:rsid w:val="00773791"/>
    <w:rsid w:val="007737A1"/>
    <w:rsid w:val="007831D9"/>
    <w:rsid w:val="00787889"/>
    <w:rsid w:val="00794F80"/>
    <w:rsid w:val="00797F8D"/>
    <w:rsid w:val="007A110B"/>
    <w:rsid w:val="007B689A"/>
    <w:rsid w:val="007C0FBE"/>
    <w:rsid w:val="007C2771"/>
    <w:rsid w:val="007C2CEA"/>
    <w:rsid w:val="007C50AC"/>
    <w:rsid w:val="007C5CD7"/>
    <w:rsid w:val="007C7E31"/>
    <w:rsid w:val="007D0251"/>
    <w:rsid w:val="007D03EA"/>
    <w:rsid w:val="007D3441"/>
    <w:rsid w:val="007D5D97"/>
    <w:rsid w:val="007D75F6"/>
    <w:rsid w:val="007E09BC"/>
    <w:rsid w:val="007E31A6"/>
    <w:rsid w:val="007E5335"/>
    <w:rsid w:val="007F170D"/>
    <w:rsid w:val="007F3835"/>
    <w:rsid w:val="007F465C"/>
    <w:rsid w:val="007F734C"/>
    <w:rsid w:val="00807D18"/>
    <w:rsid w:val="00812177"/>
    <w:rsid w:val="00823E8E"/>
    <w:rsid w:val="00824976"/>
    <w:rsid w:val="00832691"/>
    <w:rsid w:val="00837F74"/>
    <w:rsid w:val="008409B2"/>
    <w:rsid w:val="008431B4"/>
    <w:rsid w:val="00847C90"/>
    <w:rsid w:val="0085038B"/>
    <w:rsid w:val="00853216"/>
    <w:rsid w:val="00853D2E"/>
    <w:rsid w:val="00854236"/>
    <w:rsid w:val="00860EEE"/>
    <w:rsid w:val="00861C94"/>
    <w:rsid w:val="008638C5"/>
    <w:rsid w:val="00863B5D"/>
    <w:rsid w:val="00864B3A"/>
    <w:rsid w:val="00865796"/>
    <w:rsid w:val="00866F50"/>
    <w:rsid w:val="00872DA8"/>
    <w:rsid w:val="00875BF1"/>
    <w:rsid w:val="00876D6D"/>
    <w:rsid w:val="008808D7"/>
    <w:rsid w:val="00881557"/>
    <w:rsid w:val="00883FAD"/>
    <w:rsid w:val="00885D65"/>
    <w:rsid w:val="00886E7B"/>
    <w:rsid w:val="00887961"/>
    <w:rsid w:val="008917E8"/>
    <w:rsid w:val="008918B9"/>
    <w:rsid w:val="0089326D"/>
    <w:rsid w:val="008941B5"/>
    <w:rsid w:val="00894670"/>
    <w:rsid w:val="008A060A"/>
    <w:rsid w:val="008A3BC6"/>
    <w:rsid w:val="008B029A"/>
    <w:rsid w:val="008B1336"/>
    <w:rsid w:val="008B3478"/>
    <w:rsid w:val="008B4E14"/>
    <w:rsid w:val="008C30C5"/>
    <w:rsid w:val="008C45ED"/>
    <w:rsid w:val="008D3F04"/>
    <w:rsid w:val="008D4BA1"/>
    <w:rsid w:val="008E16CC"/>
    <w:rsid w:val="008E29E2"/>
    <w:rsid w:val="008E5D07"/>
    <w:rsid w:val="008E60A0"/>
    <w:rsid w:val="008E748D"/>
    <w:rsid w:val="008F02FD"/>
    <w:rsid w:val="008F0407"/>
    <w:rsid w:val="008F0FFA"/>
    <w:rsid w:val="008F357C"/>
    <w:rsid w:val="008F3B60"/>
    <w:rsid w:val="008F51E8"/>
    <w:rsid w:val="008F58E0"/>
    <w:rsid w:val="008F6626"/>
    <w:rsid w:val="00900559"/>
    <w:rsid w:val="00902BF8"/>
    <w:rsid w:val="00904276"/>
    <w:rsid w:val="00904B47"/>
    <w:rsid w:val="009054A2"/>
    <w:rsid w:val="009112E8"/>
    <w:rsid w:val="00911C7B"/>
    <w:rsid w:val="0092107E"/>
    <w:rsid w:val="00930FA8"/>
    <w:rsid w:val="00931D23"/>
    <w:rsid w:val="00932586"/>
    <w:rsid w:val="009347E8"/>
    <w:rsid w:val="00940861"/>
    <w:rsid w:val="00941643"/>
    <w:rsid w:val="00942884"/>
    <w:rsid w:val="009544F6"/>
    <w:rsid w:val="00957526"/>
    <w:rsid w:val="00963714"/>
    <w:rsid w:val="00963783"/>
    <w:rsid w:val="00965587"/>
    <w:rsid w:val="00966B3A"/>
    <w:rsid w:val="009678D2"/>
    <w:rsid w:val="009712A6"/>
    <w:rsid w:val="00976F77"/>
    <w:rsid w:val="00983317"/>
    <w:rsid w:val="00983526"/>
    <w:rsid w:val="009836C6"/>
    <w:rsid w:val="00985950"/>
    <w:rsid w:val="009859B5"/>
    <w:rsid w:val="0099028A"/>
    <w:rsid w:val="0099029B"/>
    <w:rsid w:val="00990763"/>
    <w:rsid w:val="0099371F"/>
    <w:rsid w:val="009A08D8"/>
    <w:rsid w:val="009A0F09"/>
    <w:rsid w:val="009A6173"/>
    <w:rsid w:val="009A72E6"/>
    <w:rsid w:val="009A74FE"/>
    <w:rsid w:val="009B2525"/>
    <w:rsid w:val="009C241F"/>
    <w:rsid w:val="009C3E3D"/>
    <w:rsid w:val="009C4369"/>
    <w:rsid w:val="009C61A4"/>
    <w:rsid w:val="009D7A56"/>
    <w:rsid w:val="009E299C"/>
    <w:rsid w:val="009E2B24"/>
    <w:rsid w:val="009E4567"/>
    <w:rsid w:val="009E6EF8"/>
    <w:rsid w:val="009F1002"/>
    <w:rsid w:val="009F61C1"/>
    <w:rsid w:val="009F61E7"/>
    <w:rsid w:val="00A02D60"/>
    <w:rsid w:val="00A033ED"/>
    <w:rsid w:val="00A05764"/>
    <w:rsid w:val="00A06D18"/>
    <w:rsid w:val="00A0778B"/>
    <w:rsid w:val="00A1789B"/>
    <w:rsid w:val="00A22408"/>
    <w:rsid w:val="00A2675A"/>
    <w:rsid w:val="00A27673"/>
    <w:rsid w:val="00A32DE2"/>
    <w:rsid w:val="00A334B2"/>
    <w:rsid w:val="00A3445E"/>
    <w:rsid w:val="00A3560A"/>
    <w:rsid w:val="00A37271"/>
    <w:rsid w:val="00A424C6"/>
    <w:rsid w:val="00A43997"/>
    <w:rsid w:val="00A442F3"/>
    <w:rsid w:val="00A4718A"/>
    <w:rsid w:val="00A5032B"/>
    <w:rsid w:val="00A52E9E"/>
    <w:rsid w:val="00A61514"/>
    <w:rsid w:val="00A62AB9"/>
    <w:rsid w:val="00A70C11"/>
    <w:rsid w:val="00A70E17"/>
    <w:rsid w:val="00A801B0"/>
    <w:rsid w:val="00A86385"/>
    <w:rsid w:val="00A86AC4"/>
    <w:rsid w:val="00A936BE"/>
    <w:rsid w:val="00A97C7C"/>
    <w:rsid w:val="00AA0C40"/>
    <w:rsid w:val="00AA507A"/>
    <w:rsid w:val="00AA5325"/>
    <w:rsid w:val="00AA5421"/>
    <w:rsid w:val="00AA5C6B"/>
    <w:rsid w:val="00AB5940"/>
    <w:rsid w:val="00AC00B1"/>
    <w:rsid w:val="00AC01C6"/>
    <w:rsid w:val="00AC2083"/>
    <w:rsid w:val="00AC2F95"/>
    <w:rsid w:val="00AC6DED"/>
    <w:rsid w:val="00AC777D"/>
    <w:rsid w:val="00AC7EA8"/>
    <w:rsid w:val="00AD143B"/>
    <w:rsid w:val="00AD15F6"/>
    <w:rsid w:val="00AD1BFC"/>
    <w:rsid w:val="00AD23ED"/>
    <w:rsid w:val="00AD4E6B"/>
    <w:rsid w:val="00AD4FAE"/>
    <w:rsid w:val="00AD7FE0"/>
    <w:rsid w:val="00AE43B9"/>
    <w:rsid w:val="00AE498C"/>
    <w:rsid w:val="00B00273"/>
    <w:rsid w:val="00B02798"/>
    <w:rsid w:val="00B0329B"/>
    <w:rsid w:val="00B045ED"/>
    <w:rsid w:val="00B11D50"/>
    <w:rsid w:val="00B204BB"/>
    <w:rsid w:val="00B335A9"/>
    <w:rsid w:val="00B33BCB"/>
    <w:rsid w:val="00B37AAE"/>
    <w:rsid w:val="00B40D35"/>
    <w:rsid w:val="00B443D8"/>
    <w:rsid w:val="00B47A38"/>
    <w:rsid w:val="00B47A94"/>
    <w:rsid w:val="00B47D9F"/>
    <w:rsid w:val="00B50004"/>
    <w:rsid w:val="00B5168D"/>
    <w:rsid w:val="00B52E76"/>
    <w:rsid w:val="00B530BA"/>
    <w:rsid w:val="00B53C06"/>
    <w:rsid w:val="00B55657"/>
    <w:rsid w:val="00B560E0"/>
    <w:rsid w:val="00B56FE7"/>
    <w:rsid w:val="00B628DC"/>
    <w:rsid w:val="00B725E1"/>
    <w:rsid w:val="00B73AA7"/>
    <w:rsid w:val="00B764C7"/>
    <w:rsid w:val="00B8192D"/>
    <w:rsid w:val="00B85399"/>
    <w:rsid w:val="00B85D10"/>
    <w:rsid w:val="00B90487"/>
    <w:rsid w:val="00B9151C"/>
    <w:rsid w:val="00B94097"/>
    <w:rsid w:val="00B95343"/>
    <w:rsid w:val="00B96A5E"/>
    <w:rsid w:val="00BA15A4"/>
    <w:rsid w:val="00BA29E9"/>
    <w:rsid w:val="00BA2B2F"/>
    <w:rsid w:val="00BA3414"/>
    <w:rsid w:val="00BB082B"/>
    <w:rsid w:val="00BB4779"/>
    <w:rsid w:val="00BC418F"/>
    <w:rsid w:val="00BC54F3"/>
    <w:rsid w:val="00BD5E53"/>
    <w:rsid w:val="00BD737C"/>
    <w:rsid w:val="00BE0629"/>
    <w:rsid w:val="00BE2ACE"/>
    <w:rsid w:val="00BF043D"/>
    <w:rsid w:val="00BF15C5"/>
    <w:rsid w:val="00BF5629"/>
    <w:rsid w:val="00C043B9"/>
    <w:rsid w:val="00C04C78"/>
    <w:rsid w:val="00C04C86"/>
    <w:rsid w:val="00C10F2B"/>
    <w:rsid w:val="00C13326"/>
    <w:rsid w:val="00C14540"/>
    <w:rsid w:val="00C16A93"/>
    <w:rsid w:val="00C17529"/>
    <w:rsid w:val="00C26D57"/>
    <w:rsid w:val="00C2751A"/>
    <w:rsid w:val="00C32955"/>
    <w:rsid w:val="00C400E3"/>
    <w:rsid w:val="00C41F03"/>
    <w:rsid w:val="00C4482B"/>
    <w:rsid w:val="00C507FC"/>
    <w:rsid w:val="00C552E9"/>
    <w:rsid w:val="00C56261"/>
    <w:rsid w:val="00C57BE5"/>
    <w:rsid w:val="00C57EBE"/>
    <w:rsid w:val="00C60986"/>
    <w:rsid w:val="00C64AB2"/>
    <w:rsid w:val="00C67730"/>
    <w:rsid w:val="00C8354B"/>
    <w:rsid w:val="00C84BA8"/>
    <w:rsid w:val="00C933B6"/>
    <w:rsid w:val="00C93766"/>
    <w:rsid w:val="00C9544D"/>
    <w:rsid w:val="00C95DC5"/>
    <w:rsid w:val="00CA2E32"/>
    <w:rsid w:val="00CB0D85"/>
    <w:rsid w:val="00CB169A"/>
    <w:rsid w:val="00CB2EA3"/>
    <w:rsid w:val="00CB36B5"/>
    <w:rsid w:val="00CB507A"/>
    <w:rsid w:val="00CC2DAB"/>
    <w:rsid w:val="00CC4E6F"/>
    <w:rsid w:val="00CC6526"/>
    <w:rsid w:val="00CD2EE5"/>
    <w:rsid w:val="00CD49D2"/>
    <w:rsid w:val="00CD6F18"/>
    <w:rsid w:val="00CE0038"/>
    <w:rsid w:val="00CE2B35"/>
    <w:rsid w:val="00CE4A38"/>
    <w:rsid w:val="00CE5027"/>
    <w:rsid w:val="00CE7B9F"/>
    <w:rsid w:val="00CF414F"/>
    <w:rsid w:val="00CF750B"/>
    <w:rsid w:val="00D0504E"/>
    <w:rsid w:val="00D05A41"/>
    <w:rsid w:val="00D06360"/>
    <w:rsid w:val="00D11B69"/>
    <w:rsid w:val="00D14CF4"/>
    <w:rsid w:val="00D21735"/>
    <w:rsid w:val="00D268AD"/>
    <w:rsid w:val="00D27A91"/>
    <w:rsid w:val="00D32363"/>
    <w:rsid w:val="00D33012"/>
    <w:rsid w:val="00D35967"/>
    <w:rsid w:val="00D41001"/>
    <w:rsid w:val="00D41F4B"/>
    <w:rsid w:val="00D47A41"/>
    <w:rsid w:val="00D55B56"/>
    <w:rsid w:val="00D561D6"/>
    <w:rsid w:val="00D6211F"/>
    <w:rsid w:val="00D67C17"/>
    <w:rsid w:val="00D744BA"/>
    <w:rsid w:val="00D76106"/>
    <w:rsid w:val="00D81B85"/>
    <w:rsid w:val="00D82883"/>
    <w:rsid w:val="00D82B31"/>
    <w:rsid w:val="00D82D91"/>
    <w:rsid w:val="00D9305B"/>
    <w:rsid w:val="00D93B52"/>
    <w:rsid w:val="00D9500E"/>
    <w:rsid w:val="00D96840"/>
    <w:rsid w:val="00DA0F44"/>
    <w:rsid w:val="00DA2F65"/>
    <w:rsid w:val="00DA4D73"/>
    <w:rsid w:val="00DB0D83"/>
    <w:rsid w:val="00DB3FA1"/>
    <w:rsid w:val="00DB5815"/>
    <w:rsid w:val="00DB5CF7"/>
    <w:rsid w:val="00DB7B13"/>
    <w:rsid w:val="00DB7C84"/>
    <w:rsid w:val="00DC30B4"/>
    <w:rsid w:val="00DC39FA"/>
    <w:rsid w:val="00DC3E9A"/>
    <w:rsid w:val="00DC4418"/>
    <w:rsid w:val="00DC700D"/>
    <w:rsid w:val="00DD2D4C"/>
    <w:rsid w:val="00DD6F29"/>
    <w:rsid w:val="00DE0B32"/>
    <w:rsid w:val="00DE2B8E"/>
    <w:rsid w:val="00DE2D77"/>
    <w:rsid w:val="00DE3724"/>
    <w:rsid w:val="00DE7274"/>
    <w:rsid w:val="00DF4FCD"/>
    <w:rsid w:val="00DF67F1"/>
    <w:rsid w:val="00E0377F"/>
    <w:rsid w:val="00E10573"/>
    <w:rsid w:val="00E341B0"/>
    <w:rsid w:val="00E347D1"/>
    <w:rsid w:val="00E37F8C"/>
    <w:rsid w:val="00E41782"/>
    <w:rsid w:val="00E42316"/>
    <w:rsid w:val="00E45CB2"/>
    <w:rsid w:val="00E466AF"/>
    <w:rsid w:val="00E5102F"/>
    <w:rsid w:val="00E51B56"/>
    <w:rsid w:val="00E6385B"/>
    <w:rsid w:val="00E644F2"/>
    <w:rsid w:val="00E73B8B"/>
    <w:rsid w:val="00E76A9C"/>
    <w:rsid w:val="00E85EB5"/>
    <w:rsid w:val="00E9475C"/>
    <w:rsid w:val="00E96D1A"/>
    <w:rsid w:val="00EA1D3C"/>
    <w:rsid w:val="00EA1E9B"/>
    <w:rsid w:val="00EA513F"/>
    <w:rsid w:val="00EA6E98"/>
    <w:rsid w:val="00EB2821"/>
    <w:rsid w:val="00EB39D1"/>
    <w:rsid w:val="00EB4826"/>
    <w:rsid w:val="00EB5599"/>
    <w:rsid w:val="00EB68DD"/>
    <w:rsid w:val="00EB6A44"/>
    <w:rsid w:val="00EB7F0F"/>
    <w:rsid w:val="00EC04A4"/>
    <w:rsid w:val="00EC2220"/>
    <w:rsid w:val="00EC2FAD"/>
    <w:rsid w:val="00EC37AF"/>
    <w:rsid w:val="00EC3C05"/>
    <w:rsid w:val="00ED0396"/>
    <w:rsid w:val="00ED0F03"/>
    <w:rsid w:val="00ED3D97"/>
    <w:rsid w:val="00ED6235"/>
    <w:rsid w:val="00EE2473"/>
    <w:rsid w:val="00EE57F1"/>
    <w:rsid w:val="00EF183E"/>
    <w:rsid w:val="00EF2AC0"/>
    <w:rsid w:val="00EF5090"/>
    <w:rsid w:val="00F1154E"/>
    <w:rsid w:val="00F14DB8"/>
    <w:rsid w:val="00F16BE2"/>
    <w:rsid w:val="00F2350E"/>
    <w:rsid w:val="00F26BCF"/>
    <w:rsid w:val="00F339C2"/>
    <w:rsid w:val="00F34153"/>
    <w:rsid w:val="00F4247C"/>
    <w:rsid w:val="00F427F2"/>
    <w:rsid w:val="00F45159"/>
    <w:rsid w:val="00F45FF3"/>
    <w:rsid w:val="00F461D1"/>
    <w:rsid w:val="00F472AC"/>
    <w:rsid w:val="00F478BD"/>
    <w:rsid w:val="00F51369"/>
    <w:rsid w:val="00F52C73"/>
    <w:rsid w:val="00F550CE"/>
    <w:rsid w:val="00F6631C"/>
    <w:rsid w:val="00F70C43"/>
    <w:rsid w:val="00F71ECA"/>
    <w:rsid w:val="00F7571B"/>
    <w:rsid w:val="00F81DFF"/>
    <w:rsid w:val="00F82640"/>
    <w:rsid w:val="00F8492C"/>
    <w:rsid w:val="00F878A8"/>
    <w:rsid w:val="00F9200C"/>
    <w:rsid w:val="00F934A6"/>
    <w:rsid w:val="00FA3333"/>
    <w:rsid w:val="00FA6CB2"/>
    <w:rsid w:val="00FB50D3"/>
    <w:rsid w:val="00FC2B2A"/>
    <w:rsid w:val="00FC621D"/>
    <w:rsid w:val="00FD1E65"/>
    <w:rsid w:val="00FD1EE1"/>
    <w:rsid w:val="00FD2661"/>
    <w:rsid w:val="00FD33A7"/>
    <w:rsid w:val="00FD4601"/>
    <w:rsid w:val="00FD46F1"/>
    <w:rsid w:val="00FE024B"/>
    <w:rsid w:val="00FE088D"/>
    <w:rsid w:val="00FF0AE8"/>
    <w:rsid w:val="00FF24FC"/>
    <w:rsid w:val="00FF343D"/>
    <w:rsid w:val="00FF58DA"/>
    <w:rsid w:val="00FF65DB"/>
    <w:rsid w:val="00FF7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A4"/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3">
    <w:name w:val="Table Grid"/>
    <w:basedOn w:val="a1"/>
    <w:uiPriority w:val="59"/>
    <w:rsid w:val="00BA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2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0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7F170D"/>
  </w:style>
  <w:style w:type="table" w:customStyle="1" w:styleId="121">
    <w:name w:val="Сетка таблицы1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B5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"/>
    <w:aliases w:val="Интервал 0 pt"/>
    <w:basedOn w:val="a0"/>
    <w:rsid w:val="0052513E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25">
    <w:name w:val="Основной текст (2)_"/>
    <w:basedOn w:val="a0"/>
    <w:link w:val="26"/>
    <w:locked/>
    <w:rsid w:val="0052513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2513E"/>
    <w:pPr>
      <w:widowControl w:val="0"/>
      <w:shd w:val="clear" w:color="auto" w:fill="FFFFFF"/>
      <w:spacing w:before="240" w:after="0" w:line="226" w:lineRule="exact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BDA4-C482-41F3-AD33-5C713551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6808</Words>
  <Characters>38809</Characters>
  <Application>Microsoft Office Word</Application>
  <DocSecurity>4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Приемная управления благоустройства</cp:lastModifiedBy>
  <cp:revision>2</cp:revision>
  <cp:lastPrinted>2020-09-28T03:38:00Z</cp:lastPrinted>
  <dcterms:created xsi:type="dcterms:W3CDTF">2021-03-15T03:06:00Z</dcterms:created>
  <dcterms:modified xsi:type="dcterms:W3CDTF">2021-03-15T03:06:00Z</dcterms:modified>
</cp:coreProperties>
</file>