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«16» октября 2020 года № 1093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A4718A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"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2021 - 2024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3A161E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61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Находкинского городского округа</w:t>
            </w:r>
          </w:p>
        </w:tc>
      </w:tr>
      <w:tr w:rsidR="002B3E25" w:rsidRPr="00930FA8" w:rsidTr="00BB082B">
        <w:tc>
          <w:tcPr>
            <w:tcW w:w="3119" w:type="dxa"/>
          </w:tcPr>
          <w:p w:rsidR="002B3E25" w:rsidRPr="004F2FB9" w:rsidRDefault="002B3E25" w:rsidP="002B3E25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2B3E25" w:rsidRDefault="002B3E25" w:rsidP="002B3E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B3E25" w:rsidRPr="001B7488" w:rsidRDefault="002B3E25" w:rsidP="002B3E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1876F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BB082B" w:rsidRPr="001876FE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BB082B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содержания</w:t>
            </w:r>
            <w:r w:rsidRPr="00E46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озеленения  общественных территорий и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внешнего благоустройства Находкинского городского округа</w:t>
            </w:r>
          </w:p>
          <w:p w:rsidR="00BB082B" w:rsidRPr="004F2FB9" w:rsidRDefault="00BB082B" w:rsidP="00D02C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BB082B" w:rsidRPr="00930FA8" w:rsidTr="004C747C">
        <w:trPr>
          <w:trHeight w:val="403"/>
        </w:trPr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</w:t>
            </w:r>
          </w:p>
          <w:p w:rsidR="00BB082B" w:rsidRPr="00930FA8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озеленением; </w:t>
            </w:r>
          </w:p>
          <w:p w:rsidR="00BB082B" w:rsidRPr="00930FA8" w:rsidRDefault="00BB082B" w:rsidP="00BB082B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BB082B" w:rsidRPr="00930FA8" w:rsidTr="00BB082B">
        <w:trPr>
          <w:trHeight w:val="2663"/>
        </w:trPr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 составляет 4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руб., в том числе: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 – 4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 по годам: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- 2022 год – 1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00,0 тыс. руб. 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600,0 тыс. руб.</w:t>
            </w:r>
          </w:p>
          <w:p w:rsidR="00BB082B" w:rsidRPr="001B7488" w:rsidRDefault="00BB082B" w:rsidP="008A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- 2024 год – 1</w:t>
            </w:r>
            <w:r w:rsidR="00EC6184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500,0 </w:t>
            </w:r>
            <w:proofErr w:type="spellStart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B3E25" w:rsidRPr="00930FA8" w:rsidTr="00BB082B">
        <w:tc>
          <w:tcPr>
            <w:tcW w:w="3119" w:type="dxa"/>
            <w:vAlign w:val="center"/>
            <w:hideMark/>
          </w:tcPr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  <w:tc>
          <w:tcPr>
            <w:tcW w:w="6912" w:type="dxa"/>
          </w:tcPr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составляет–249 418,46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том числе: бюджет Находкинского городского округа – 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78 095,54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75 722,92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43 300,00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52 300,00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B3E25" w:rsidRPr="00930FA8" w:rsidTr="00BB082B">
        <w:tc>
          <w:tcPr>
            <w:tcW w:w="3119" w:type="dxa"/>
            <w:vAlign w:val="center"/>
            <w:hideMark/>
          </w:tcPr>
          <w:p w:rsidR="002B3E25" w:rsidRPr="00930FA8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2B3E25" w:rsidRPr="004576C9" w:rsidRDefault="002B3E25" w:rsidP="002B3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текущим содержанием на уровне 100%</w:t>
            </w:r>
          </w:p>
          <w:p w:rsidR="002B3E25" w:rsidRPr="004576C9" w:rsidRDefault="002B3E25" w:rsidP="002B3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озеленением на уровне 100%</w:t>
            </w:r>
          </w:p>
          <w:p w:rsidR="002B3E25" w:rsidRPr="004576C9" w:rsidRDefault="002B3E25" w:rsidP="002B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увеличение количества восстановленных и (или) замененных элементов благоустройства составит 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126 ед. в 2021 году до 294 ед. к 2024 году</w:t>
            </w:r>
          </w:p>
        </w:tc>
      </w:tr>
    </w:tbl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C747C" w:rsidRPr="004C747C" w:rsidRDefault="004C747C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 xml:space="preserve">на 2021-2024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lastRenderedPageBreak/>
        <w:t>Взаимосвязь указанных  видов деятельности определяется их общей целевой направленностью на повышение уровня благоустройства территории. Успешное 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Памятнике Победы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Великой Отечественной войне 1941-1945 гг.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</w:t>
      </w:r>
      <w:proofErr w:type="gramStart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указанные цели в 2021 году, необходимо провести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</w:t>
      </w:r>
      <w:r w:rsidR="00941643" w:rsidRPr="004F2FB9">
        <w:rPr>
          <w:rFonts w:ascii="Times New Roman" w:hAnsi="Times New Roman" w:cs="Times New Roman"/>
          <w:sz w:val="26"/>
          <w:szCs w:val="26"/>
        </w:rPr>
        <w:lastRenderedPageBreak/>
        <w:t xml:space="preserve">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43D8" w:rsidRPr="00A4718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>
        <w:rPr>
          <w:rFonts w:ascii="Times New Roman" w:hAnsi="Times New Roman" w:cs="Times New Roman"/>
          <w:sz w:val="26"/>
          <w:szCs w:val="26"/>
        </w:rPr>
        <w:t>21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A4718A">
        <w:rPr>
          <w:rFonts w:ascii="Times New Roman" w:hAnsi="Times New Roman" w:cs="Times New Roman"/>
          <w:sz w:val="26"/>
          <w:szCs w:val="26"/>
        </w:rPr>
        <w:t>2</w:t>
      </w:r>
      <w:r w:rsidR="00F14DB8">
        <w:rPr>
          <w:rFonts w:ascii="Times New Roman" w:hAnsi="Times New Roman" w:cs="Times New Roman"/>
          <w:sz w:val="26"/>
          <w:szCs w:val="26"/>
        </w:rPr>
        <w:t>4</w:t>
      </w:r>
      <w:r w:rsidRPr="00A4718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A4718A">
        <w:rPr>
          <w:rFonts w:ascii="Times New Roman" w:hAnsi="Times New Roman" w:cs="Times New Roman"/>
          <w:sz w:val="26"/>
          <w:szCs w:val="26"/>
        </w:rPr>
        <w:t>ов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647E1F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647E1F">
        <w:trPr>
          <w:trHeight w:val="642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285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выкашивание зеленых зон  со сбором и вывозом выкошенной травы;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аварийных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Реализация мероприятий муниципальной программы осуществляется посредством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45"/>
      <w:bookmarkEnd w:id="1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N - число показателей, характеризующих цели и задачи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</w:t>
      </w:r>
      <w:r w:rsidR="00B443D8" w:rsidRPr="00A4718A">
        <w:rPr>
          <w:rFonts w:ascii="Times New Roman" w:hAnsi="Times New Roman" w:cs="Times New Roman"/>
          <w:sz w:val="26"/>
          <w:szCs w:val="26"/>
        </w:rPr>
        <w:lastRenderedPageBreak/>
        <w:t>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).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718A" w:rsidRDefault="009A3E0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835" w:rsidRDefault="007F383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7F3835" w:rsidSect="004C747C">
          <w:headerReference w:type="default" r:id="rId14"/>
          <w:pgSz w:w="11906" w:h="16838"/>
          <w:pgMar w:top="678" w:right="567" w:bottom="851" w:left="1276" w:header="397" w:footer="397" w:gutter="0"/>
          <w:cols w:space="708"/>
          <w:titlePg/>
          <w:docGrid w:linePitch="360"/>
        </w:sectPr>
      </w:pPr>
    </w:p>
    <w:p w:rsidR="007F3835" w:rsidRPr="008A4B99" w:rsidRDefault="007F3835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A37271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7F3835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№1093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3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территорий Находкинского городского округа на  2021-2024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6859"/>
        <w:gridCol w:w="1249"/>
        <w:gridCol w:w="930"/>
        <w:gridCol w:w="954"/>
        <w:gridCol w:w="979"/>
        <w:gridCol w:w="972"/>
        <w:gridCol w:w="827"/>
        <w:gridCol w:w="1662"/>
      </w:tblGrid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7F3835" w:rsidRPr="007F3835" w:rsidTr="002B3E25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7F3835" w:rsidRPr="007F3835" w:rsidTr="002B3E25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2B3E25" w:rsidRPr="007F3835" w:rsidTr="002B3E25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2B3E25" w:rsidRPr="007F3835" w:rsidTr="002B3E25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2B3E25" w:rsidRPr="007F3835" w:rsidTr="002B3E25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4E465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4E465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5" w:rsidRPr="00B75693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6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5" w:rsidRPr="002431F7" w:rsidRDefault="002B3E25" w:rsidP="009A3E02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5" w:rsidRPr="002431F7" w:rsidRDefault="002B3E25" w:rsidP="009A3E02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5" w:rsidRPr="002431F7" w:rsidRDefault="002B3E25" w:rsidP="009A3E02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1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4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5" w:rsidRPr="002431F7" w:rsidRDefault="002B3E25" w:rsidP="009A3E02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1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0652EF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374C8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7374C8" w:rsidRPr="00EC6184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6096"/>
        <w:gridCol w:w="3118"/>
        <w:gridCol w:w="1276"/>
        <w:gridCol w:w="1134"/>
        <w:gridCol w:w="1134"/>
        <w:gridCol w:w="1145"/>
      </w:tblGrid>
      <w:tr w:rsidR="007012C9" w:rsidRPr="007F3835" w:rsidTr="000652EF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012C9" w:rsidRPr="007F3835" w:rsidTr="000652EF">
        <w:trPr>
          <w:trHeight w:val="5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012C9" w:rsidRPr="007F3835" w:rsidTr="00AB7DA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2021-2024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7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5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22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8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7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 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5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>
              <w:rPr>
                <w:rFonts w:ascii="Times New Roman" w:hAnsi="Times New Roman"/>
                <w:sz w:val="24"/>
                <w:szCs w:val="24"/>
              </w:rPr>
              <w:t>22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>
              <w:rPr>
                <w:rFonts w:ascii="Times New Roman" w:hAnsi="Times New Roman"/>
                <w:sz w:val="24"/>
                <w:szCs w:val="24"/>
              </w:rPr>
              <w:t>8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8A4B99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AB7DAD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C10F14" w:rsidRDefault="00896FAA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C10F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B17B1C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D645B4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аварийных деревьев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2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6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7374C8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0652EF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7374C8">
        <w:trPr>
          <w:trHeight w:val="152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7374C8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AB7DAD">
        <w:trPr>
          <w:trHeight w:val="42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164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7374C8">
        <w:trPr>
          <w:trHeight w:val="178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5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1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  <w:vMerge w:val="restart"/>
          </w:tcPr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7012C9" w:rsidRPr="004B0CCB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Pr="004B0CCB" w:rsidRDefault="007012C9" w:rsidP="00AD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rPr>
          <w:trHeight w:val="2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rPr>
          <w:trHeight w:val="71"/>
        </w:trPr>
        <w:tc>
          <w:tcPr>
            <w:tcW w:w="708" w:type="dxa"/>
            <w:vMerge w:val="restart"/>
            <w:hideMark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96" w:type="dxa"/>
            <w:vMerge w:val="restart"/>
          </w:tcPr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4C0A3E" w:rsidRPr="004B0CCB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Pr="004B0CCB" w:rsidRDefault="004C0A3E" w:rsidP="00D663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C0A3E" w:rsidRPr="007F3835" w:rsidRDefault="00C10F14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rPr>
          <w:trHeight w:val="281"/>
        </w:trPr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4C0A3E" w:rsidRPr="007F3835" w:rsidRDefault="00C10F14" w:rsidP="004C0A3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928" w:rsidRDefault="00050E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F3835" w:rsidRPr="008A4B99" w:rsidRDefault="000652EF" w:rsidP="000652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</w:t>
      </w:r>
      <w:r w:rsidR="007012C9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40121D" w:rsidRPr="008A4B9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</w:t>
      </w:r>
    </w:p>
    <w:p w:rsidR="007F3835" w:rsidRPr="00BF562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6067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</w:t>
      </w:r>
      <w:proofErr w:type="spell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тыс</w:t>
      </w:r>
      <w:proofErr w:type="gram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.р</w:t>
      </w:r>
      <w:proofErr w:type="gram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уб</w:t>
      </w:r>
      <w:proofErr w:type="spell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1843"/>
        <w:gridCol w:w="851"/>
        <w:gridCol w:w="850"/>
        <w:gridCol w:w="1418"/>
        <w:gridCol w:w="708"/>
        <w:gridCol w:w="1134"/>
        <w:gridCol w:w="1134"/>
        <w:gridCol w:w="993"/>
        <w:gridCol w:w="1134"/>
      </w:tblGrid>
      <w:tr w:rsidR="007012C9" w:rsidRPr="00983526" w:rsidTr="00ED793C">
        <w:trPr>
          <w:trHeight w:val="253"/>
        </w:trPr>
        <w:tc>
          <w:tcPr>
            <w:tcW w:w="709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п</w:t>
            </w:r>
            <w:proofErr w:type="gramEnd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vAlign w:val="center"/>
          </w:tcPr>
          <w:p w:rsidR="007012C9" w:rsidRPr="00983526" w:rsidRDefault="007012C9" w:rsidP="00AD6170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.), г</w:t>
            </w: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оды</w:t>
            </w:r>
          </w:p>
        </w:tc>
      </w:tr>
      <w:tr w:rsidR="007012C9" w:rsidRPr="00983526" w:rsidTr="00ED793C">
        <w:tc>
          <w:tcPr>
            <w:tcW w:w="709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968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ГРБС</w:t>
            </w:r>
          </w:p>
        </w:tc>
        <w:tc>
          <w:tcPr>
            <w:tcW w:w="850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708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1134" w:type="dxa"/>
            <w:vAlign w:val="center"/>
          </w:tcPr>
          <w:p w:rsidR="007012C9" w:rsidRPr="00ED793C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ED793C">
              <w:rPr>
                <w:rFonts w:ascii="Times New Roman" w:hAnsi="Times New Roman"/>
                <w:sz w:val="24"/>
                <w:szCs w:val="24"/>
                <w:lang w:eastAsia="ko-KR"/>
              </w:rPr>
              <w:t>2021</w:t>
            </w:r>
          </w:p>
        </w:tc>
        <w:tc>
          <w:tcPr>
            <w:tcW w:w="1134" w:type="dxa"/>
            <w:vAlign w:val="center"/>
          </w:tcPr>
          <w:p w:rsidR="007012C9" w:rsidRPr="00B60674" w:rsidRDefault="007012C9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0674">
              <w:rPr>
                <w:rFonts w:ascii="Times New Roman" w:hAnsi="Times New Roman"/>
                <w:sz w:val="24"/>
                <w:szCs w:val="24"/>
                <w:lang w:eastAsia="ko-KR"/>
              </w:rPr>
              <w:t>2022</w:t>
            </w:r>
          </w:p>
        </w:tc>
        <w:tc>
          <w:tcPr>
            <w:tcW w:w="993" w:type="dxa"/>
            <w:vAlign w:val="center"/>
          </w:tcPr>
          <w:p w:rsidR="007012C9" w:rsidRPr="00B60674" w:rsidRDefault="007012C9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0674">
              <w:rPr>
                <w:rFonts w:ascii="Times New Roman" w:hAnsi="Times New Roman"/>
                <w:sz w:val="24"/>
                <w:szCs w:val="24"/>
                <w:lang w:eastAsia="ko-KR"/>
              </w:rPr>
              <w:t>2023</w:t>
            </w:r>
          </w:p>
        </w:tc>
        <w:tc>
          <w:tcPr>
            <w:tcW w:w="1134" w:type="dxa"/>
          </w:tcPr>
          <w:p w:rsidR="007012C9" w:rsidRPr="00B60674" w:rsidRDefault="007012C9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0674">
              <w:rPr>
                <w:rFonts w:ascii="Times New Roman" w:hAnsi="Times New Roman"/>
                <w:sz w:val="24"/>
                <w:szCs w:val="24"/>
                <w:lang w:eastAsia="ko-KR"/>
              </w:rPr>
              <w:t>2024</w:t>
            </w:r>
          </w:p>
        </w:tc>
      </w:tr>
      <w:tr w:rsidR="007012C9" w:rsidRPr="00983526" w:rsidTr="00ED793C"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1</w:t>
            </w:r>
          </w:p>
        </w:tc>
        <w:tc>
          <w:tcPr>
            <w:tcW w:w="396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1843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3</w:t>
            </w:r>
          </w:p>
        </w:tc>
        <w:tc>
          <w:tcPr>
            <w:tcW w:w="851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012C9" w:rsidRPr="00ED793C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7012C9" w:rsidRPr="00B60674" w:rsidRDefault="007012C9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6067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7012C9" w:rsidRPr="00B60674" w:rsidRDefault="007012C9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6067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7012C9" w:rsidRPr="00B60674" w:rsidRDefault="007012C9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60674">
              <w:rPr>
                <w:rFonts w:ascii="Times New Roman" w:hAnsi="Times New Roman"/>
              </w:rPr>
              <w:t>11</w:t>
            </w:r>
          </w:p>
        </w:tc>
      </w:tr>
      <w:tr w:rsidR="002B3E25" w:rsidRPr="004A4A7F" w:rsidTr="00ED793C">
        <w:tc>
          <w:tcPr>
            <w:tcW w:w="709" w:type="dxa"/>
          </w:tcPr>
          <w:p w:rsidR="002B3E25" w:rsidRPr="00983526" w:rsidRDefault="002B3E25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968" w:type="dxa"/>
          </w:tcPr>
          <w:p w:rsidR="002B3E25" w:rsidRPr="004A4A7F" w:rsidRDefault="002B3E25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Благоустройство территорий Находкинского городского округа» на  2021-2024 годы</w:t>
            </w:r>
          </w:p>
        </w:tc>
        <w:tc>
          <w:tcPr>
            <w:tcW w:w="1843" w:type="dxa"/>
          </w:tcPr>
          <w:p w:rsidR="002B3E25" w:rsidRPr="004A4A7F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2B3E25" w:rsidRPr="004A4A7F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2500000000</w:t>
            </w:r>
          </w:p>
        </w:tc>
        <w:tc>
          <w:tcPr>
            <w:tcW w:w="708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8900C1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78 </w:t>
            </w:r>
            <w:r>
              <w:rPr>
                <w:rFonts w:ascii="Times New Roman" w:hAnsi="Times New Roman"/>
              </w:rPr>
              <w:t>095,54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5722</w:t>
            </w:r>
            <w:r w:rsidRPr="0022563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33</w:t>
            </w:r>
            <w:r w:rsidRPr="00225634">
              <w:rPr>
                <w:rFonts w:ascii="Times New Roman" w:hAnsi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23</w:t>
            </w:r>
            <w:r w:rsidRPr="00225634">
              <w:rPr>
                <w:rFonts w:ascii="Times New Roman" w:hAnsi="Times New Roman"/>
              </w:rPr>
              <w:t>00,00</w:t>
            </w:r>
          </w:p>
        </w:tc>
      </w:tr>
      <w:tr w:rsidR="002B3E25" w:rsidRPr="004A4A7F" w:rsidTr="00ED793C">
        <w:tc>
          <w:tcPr>
            <w:tcW w:w="709" w:type="dxa"/>
          </w:tcPr>
          <w:p w:rsidR="002B3E25" w:rsidRPr="004A4A7F" w:rsidRDefault="002B3E25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968" w:type="dxa"/>
          </w:tcPr>
          <w:p w:rsidR="002B3E25" w:rsidRPr="004A4A7F" w:rsidRDefault="002B3E25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1843" w:type="dxa"/>
          </w:tcPr>
          <w:p w:rsidR="002B3E25" w:rsidRPr="004A4A7F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2B3E25" w:rsidRPr="004A4A7F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2590143070</w:t>
            </w:r>
          </w:p>
        </w:tc>
        <w:tc>
          <w:tcPr>
            <w:tcW w:w="708" w:type="dxa"/>
            <w:vAlign w:val="center"/>
          </w:tcPr>
          <w:p w:rsidR="002B3E25" w:rsidRPr="004A4A7F" w:rsidRDefault="002B3E25" w:rsidP="009A3E02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8B143F" w:rsidRDefault="002B3E25" w:rsidP="009A3E02">
            <w:pPr>
              <w:adjustRightInd w:val="0"/>
              <w:ind w:left="-109" w:righ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37 369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2B3E25" w:rsidRPr="008B143F" w:rsidRDefault="002B3E25" w:rsidP="009A3E02">
            <w:pPr>
              <w:adjustRightInd w:val="0"/>
              <w:ind w:left="-109" w:righ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34 968,46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35000,00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35000,00</w:t>
            </w:r>
          </w:p>
        </w:tc>
      </w:tr>
      <w:tr w:rsidR="002B3E25" w:rsidRPr="004A4A7F" w:rsidTr="00ED793C">
        <w:tc>
          <w:tcPr>
            <w:tcW w:w="709" w:type="dxa"/>
          </w:tcPr>
          <w:p w:rsidR="002B3E25" w:rsidRPr="004A4A7F" w:rsidRDefault="002B3E25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3968" w:type="dxa"/>
          </w:tcPr>
          <w:p w:rsidR="002B3E25" w:rsidRPr="004A4A7F" w:rsidRDefault="002B3E25" w:rsidP="00AD617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Озеленение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территорий и мест общего пользования Находкинского городского округа</w:t>
            </w: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2B3E25" w:rsidRPr="004A4A7F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2B3E25" w:rsidRPr="004A4A7F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2590143010</w:t>
            </w:r>
          </w:p>
        </w:tc>
        <w:tc>
          <w:tcPr>
            <w:tcW w:w="708" w:type="dxa"/>
            <w:vAlign w:val="center"/>
          </w:tcPr>
          <w:p w:rsidR="002B3E25" w:rsidRPr="004A4A7F" w:rsidRDefault="002B3E25" w:rsidP="009A3E02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4A4A7F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28 169,3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30918,46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9000,00</w:t>
            </w:r>
          </w:p>
        </w:tc>
      </w:tr>
      <w:tr w:rsidR="002B3E25" w:rsidRPr="00983526" w:rsidTr="00ED793C">
        <w:tc>
          <w:tcPr>
            <w:tcW w:w="709" w:type="dxa"/>
          </w:tcPr>
          <w:p w:rsidR="002B3E25" w:rsidRDefault="002B3E25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968" w:type="dxa"/>
          </w:tcPr>
          <w:p w:rsidR="002B3E25" w:rsidRPr="00AD3E16" w:rsidRDefault="002B3E25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1843" w:type="dxa"/>
          </w:tcPr>
          <w:p w:rsidR="002B3E25" w:rsidRPr="00AD3E16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2B3E25" w:rsidRPr="00AD3E16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2B3E25" w:rsidRPr="00AD3E16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AD3E16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Pr="00AD3E16" w:rsidRDefault="002B3E25" w:rsidP="009A3E0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708" w:type="dxa"/>
            <w:vAlign w:val="center"/>
          </w:tcPr>
          <w:p w:rsidR="002B3E25" w:rsidRPr="00AD3E16" w:rsidRDefault="002B3E25" w:rsidP="009A3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7F3835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225634">
              <w:rPr>
                <w:rFonts w:ascii="Times New Roman" w:hAnsi="Times New Roman"/>
              </w:rPr>
              <w:t>,00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700,00</w:t>
            </w:r>
          </w:p>
        </w:tc>
      </w:tr>
      <w:tr w:rsidR="002B3E25" w:rsidRPr="00983526" w:rsidTr="00ED793C">
        <w:tc>
          <w:tcPr>
            <w:tcW w:w="709" w:type="dxa"/>
          </w:tcPr>
          <w:p w:rsidR="002B3E25" w:rsidRPr="004A4A7F" w:rsidRDefault="002B3E25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B3E25" w:rsidRPr="004A4A7F" w:rsidRDefault="002B3E25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аварийных деревьев</w:t>
            </w:r>
          </w:p>
        </w:tc>
        <w:tc>
          <w:tcPr>
            <w:tcW w:w="1843" w:type="dxa"/>
          </w:tcPr>
          <w:p w:rsidR="002B3E25" w:rsidRPr="004A4A7F" w:rsidRDefault="002B3E25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2B3E25" w:rsidRPr="004A4A7F" w:rsidRDefault="002B3E25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4A4A7F" w:rsidRDefault="002B3E25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Pr="004A4A7F" w:rsidRDefault="002B3E25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2590143100</w:t>
            </w:r>
          </w:p>
        </w:tc>
        <w:tc>
          <w:tcPr>
            <w:tcW w:w="708" w:type="dxa"/>
            <w:vAlign w:val="center"/>
          </w:tcPr>
          <w:p w:rsidR="002B3E25" w:rsidRPr="004A4A7F" w:rsidRDefault="002B3E25" w:rsidP="009A3E02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4A4A7F" w:rsidRDefault="002B3E25" w:rsidP="009A3E02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362,5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3000,00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  <w:tr w:rsidR="002B3E25" w:rsidRPr="00983526" w:rsidTr="00ED793C">
        <w:tc>
          <w:tcPr>
            <w:tcW w:w="709" w:type="dxa"/>
          </w:tcPr>
          <w:p w:rsidR="002B3E25" w:rsidRDefault="002B3E25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968" w:type="dxa"/>
          </w:tcPr>
          <w:p w:rsidR="002B3E25" w:rsidRPr="00AD3E16" w:rsidRDefault="002B3E25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1843" w:type="dxa"/>
          </w:tcPr>
          <w:p w:rsidR="002B3E25" w:rsidRPr="00AD3E16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2B3E25" w:rsidRPr="00AD3E16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2B3E25" w:rsidRPr="00DF0B0E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DF0B0E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Pr="00FA39AC" w:rsidRDefault="002B3E25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AC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708" w:type="dxa"/>
            <w:vAlign w:val="center"/>
          </w:tcPr>
          <w:p w:rsidR="002B3E25" w:rsidRPr="00DF0B0E" w:rsidRDefault="002B3E25" w:rsidP="009A3E02">
            <w:pPr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8B64DA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3100,79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2300,00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3400,00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3400,00</w:t>
            </w:r>
          </w:p>
        </w:tc>
      </w:tr>
      <w:tr w:rsidR="002B3E25" w:rsidRPr="00983526" w:rsidTr="00ED793C">
        <w:tc>
          <w:tcPr>
            <w:tcW w:w="709" w:type="dxa"/>
          </w:tcPr>
          <w:p w:rsidR="002B3E25" w:rsidRDefault="002B3E25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3968" w:type="dxa"/>
          </w:tcPr>
          <w:p w:rsidR="002B3E25" w:rsidRPr="00AE498C" w:rsidRDefault="002B3E25" w:rsidP="000652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2B3E25" w:rsidRPr="00983526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51" w:type="dxa"/>
            <w:vAlign w:val="center"/>
          </w:tcPr>
          <w:p w:rsidR="002B3E25" w:rsidRPr="002B3E25" w:rsidRDefault="002B3E25" w:rsidP="009A3E02">
            <w:pPr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2B3E25" w:rsidRPr="002B3E25" w:rsidRDefault="002B3E25" w:rsidP="009A3E02">
            <w:pPr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2B3E25" w:rsidRPr="002B3E25" w:rsidRDefault="002B3E25" w:rsidP="009A3E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2B3E25" w:rsidRPr="002B3E25" w:rsidRDefault="002B3E25" w:rsidP="009A3E0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2B3E25" w:rsidRPr="002B3E25" w:rsidRDefault="002B3E25" w:rsidP="009A3E02">
            <w:pPr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2B3E25" w:rsidRPr="002B3E25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2B3E25" w:rsidRPr="002B3E25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2B3E25" w:rsidRPr="002B3E25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2B3E25" w:rsidRPr="00983526" w:rsidTr="00ED793C">
        <w:tc>
          <w:tcPr>
            <w:tcW w:w="709" w:type="dxa"/>
          </w:tcPr>
          <w:p w:rsidR="002B3E25" w:rsidRDefault="002B3E25" w:rsidP="008B143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968" w:type="dxa"/>
          </w:tcPr>
          <w:p w:rsidR="002B3E25" w:rsidRPr="00AE498C" w:rsidRDefault="002B3E25" w:rsidP="008B143F">
            <w:pPr>
              <w:rPr>
                <w:rFonts w:ascii="Times New Roman" w:hAnsi="Times New Roman"/>
                <w:sz w:val="24"/>
              </w:rPr>
            </w:pPr>
            <w:r w:rsidRPr="00FA6CB2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Закупка и установка скамеек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урн и мусорных контейнеров</w:t>
            </w:r>
          </w:p>
        </w:tc>
        <w:tc>
          <w:tcPr>
            <w:tcW w:w="1843" w:type="dxa"/>
          </w:tcPr>
          <w:p w:rsidR="002B3E25" w:rsidRPr="00983526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2B3E25" w:rsidRPr="00983526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983526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Pr="00225634" w:rsidRDefault="002B3E25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4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708" w:type="dxa"/>
            <w:vAlign w:val="center"/>
          </w:tcPr>
          <w:p w:rsidR="002B3E25" w:rsidRPr="00AD3E16" w:rsidRDefault="002B3E25" w:rsidP="009A3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ED793C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500,00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  <w:tr w:rsidR="002B3E25" w:rsidRPr="00983526" w:rsidTr="00ED793C">
        <w:tc>
          <w:tcPr>
            <w:tcW w:w="709" w:type="dxa"/>
          </w:tcPr>
          <w:p w:rsidR="002B3E25" w:rsidRPr="004A4A7F" w:rsidRDefault="002B3E25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968" w:type="dxa"/>
          </w:tcPr>
          <w:p w:rsidR="002B3E25" w:rsidRPr="004A4A7F" w:rsidRDefault="002B3E25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1843" w:type="dxa"/>
          </w:tcPr>
          <w:p w:rsidR="002B3E25" w:rsidRPr="004A4A7F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2B3E25" w:rsidRPr="004A4A7F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4A4A7F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Pr="004A4A7F" w:rsidRDefault="002B3E25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708" w:type="dxa"/>
            <w:vAlign w:val="center"/>
          </w:tcPr>
          <w:p w:rsidR="002B3E25" w:rsidRPr="004A4A7F" w:rsidRDefault="002B3E25" w:rsidP="009A3E02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ED793C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2493,52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1886,00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225634">
              <w:rPr>
                <w:rFonts w:ascii="Times New Roman" w:hAnsi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225634">
              <w:rPr>
                <w:rFonts w:ascii="Times New Roman" w:hAnsi="Times New Roman"/>
              </w:rPr>
              <w:t>00,00</w:t>
            </w:r>
          </w:p>
        </w:tc>
      </w:tr>
      <w:tr w:rsidR="002B3E25" w:rsidRPr="00983526" w:rsidTr="00ED793C">
        <w:tc>
          <w:tcPr>
            <w:tcW w:w="709" w:type="dxa"/>
            <w:vAlign w:val="center"/>
          </w:tcPr>
          <w:p w:rsidR="002B3E25" w:rsidRPr="00CB6AA7" w:rsidRDefault="002B3E25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3968" w:type="dxa"/>
          </w:tcPr>
          <w:p w:rsidR="002B3E25" w:rsidRPr="00620A1A" w:rsidRDefault="002B3E25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наследия 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муниципального) значения</w:t>
            </w:r>
          </w:p>
        </w:tc>
        <w:tc>
          <w:tcPr>
            <w:tcW w:w="1843" w:type="dxa"/>
          </w:tcPr>
          <w:p w:rsidR="002B3E25" w:rsidRPr="00983526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2B3E25" w:rsidRPr="00983526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983526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Pr="00983526" w:rsidRDefault="002B3E25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708" w:type="dxa"/>
            <w:vAlign w:val="center"/>
          </w:tcPr>
          <w:p w:rsidR="002B3E25" w:rsidRPr="00AD3E16" w:rsidRDefault="002B3E25" w:rsidP="009A3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ED793C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  <w:tr w:rsidR="002B3E25" w:rsidRPr="00983526" w:rsidTr="00ED793C">
        <w:tc>
          <w:tcPr>
            <w:tcW w:w="709" w:type="dxa"/>
            <w:vAlign w:val="center"/>
          </w:tcPr>
          <w:p w:rsidR="002B3E25" w:rsidRDefault="002B3E25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3968" w:type="dxa"/>
          </w:tcPr>
          <w:p w:rsidR="002B3E25" w:rsidRPr="00C10F14" w:rsidRDefault="002B3E25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</w:tc>
        <w:tc>
          <w:tcPr>
            <w:tcW w:w="1843" w:type="dxa"/>
          </w:tcPr>
          <w:p w:rsidR="002B3E25" w:rsidRPr="00983526" w:rsidRDefault="002B3E25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2B3E25" w:rsidRPr="00983526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2B3E25" w:rsidRPr="00983526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2B3E25" w:rsidRDefault="002B3E25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708" w:type="dxa"/>
            <w:vAlign w:val="center"/>
          </w:tcPr>
          <w:p w:rsidR="002B3E25" w:rsidRDefault="002B3E25" w:rsidP="009A3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2B3E25" w:rsidRPr="00ED793C" w:rsidRDefault="002B3E25" w:rsidP="009A3E0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700,00</w:t>
            </w:r>
          </w:p>
        </w:tc>
        <w:tc>
          <w:tcPr>
            <w:tcW w:w="993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E25" w:rsidRPr="00225634" w:rsidRDefault="002B3E25" w:rsidP="009A3E0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7F3835" w:rsidRPr="007F3835" w:rsidTr="005A1CFA">
        <w:tc>
          <w:tcPr>
            <w:tcW w:w="1017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819" w:type="dxa"/>
          </w:tcPr>
          <w:p w:rsidR="007F3835" w:rsidRPr="008A4B99" w:rsidRDefault="007F3835" w:rsidP="005A1CFA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A37271" w:rsidRPr="008A4B99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40121D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P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7F3835" w:rsidRPr="00CB148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CB1484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D130BD" w:rsidRP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842"/>
        <w:gridCol w:w="1418"/>
        <w:gridCol w:w="2410"/>
        <w:gridCol w:w="708"/>
        <w:gridCol w:w="709"/>
        <w:gridCol w:w="851"/>
        <w:gridCol w:w="850"/>
        <w:gridCol w:w="709"/>
        <w:gridCol w:w="2409"/>
      </w:tblGrid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CD7B3D" w:rsidRPr="007F3835" w:rsidTr="00D130BD">
        <w:trPr>
          <w:cantSplit/>
          <w:trHeight w:val="6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7B3D" w:rsidRPr="007F3835" w:rsidTr="00D130BD">
        <w:trPr>
          <w:trHeight w:val="36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7B3D" w:rsidRPr="007F3835" w:rsidTr="00D130BD">
        <w:trPr>
          <w:trHeight w:val="458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CD7B3D" w:rsidRPr="007F3835" w:rsidTr="00D130BD">
        <w:trPr>
          <w:trHeight w:val="258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</w:tc>
      </w:tr>
      <w:tr w:rsidR="00CD7B3D" w:rsidRPr="007F3835" w:rsidTr="00D130BD">
        <w:trPr>
          <w:trHeight w:val="17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D130BD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D130BD" w:rsidRDefault="00D130BD" w:rsidP="00D130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D130BD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D130BD" w:rsidRDefault="00D130BD" w:rsidP="00D130BD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D130BD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D130BD" w:rsidP="0008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D130BD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D130BD" w:rsidRPr="007F3835" w:rsidTr="00D130BD">
        <w:trPr>
          <w:trHeight w:val="2148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994B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994B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</w:p>
          <w:p w:rsidR="00D130BD" w:rsidRPr="007F3835" w:rsidRDefault="00D130BD" w:rsidP="00994B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994B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99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994B5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99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8B143F" w:rsidRDefault="00D130BD" w:rsidP="0099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8B143F" w:rsidRDefault="00D130BD" w:rsidP="0099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8B143F" w:rsidRDefault="00D130BD" w:rsidP="0099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  <w:p w:rsidR="00D130BD" w:rsidRPr="007F3835" w:rsidRDefault="00D130BD" w:rsidP="0099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8B143F" w:rsidRDefault="00D130BD" w:rsidP="0099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99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D130BD" w:rsidRPr="007F3835" w:rsidTr="00AD6170">
        <w:trPr>
          <w:trHeight w:val="166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D130BD" w:rsidRPr="007F3835" w:rsidRDefault="00D130B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объектов, обеспеченных газоснабжением</w:t>
            </w:r>
          </w:p>
          <w:p w:rsidR="00D130BD" w:rsidRPr="007F3835" w:rsidRDefault="00D130B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BD" w:rsidRPr="007F3835" w:rsidTr="00AD6170">
        <w:trPr>
          <w:trHeight w:val="70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Санитарная обрезка деревьев, валка аварийных деревьев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23068A" w:rsidRDefault="00D130B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5260D8" w:rsidRDefault="00D130BD" w:rsidP="004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BD" w:rsidRPr="007F3835" w:rsidTr="00AD6170">
        <w:trPr>
          <w:trHeight w:val="70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23068A" w:rsidRDefault="00D130B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4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BD" w:rsidRPr="007F3835" w:rsidTr="00AD6170">
        <w:trPr>
          <w:trHeight w:val="259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D" w:rsidRPr="001B2862" w:rsidRDefault="00D130BD" w:rsidP="00AD6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D130BD" w:rsidRPr="007F3835" w:rsidTr="00AD6170">
        <w:trPr>
          <w:trHeight w:val="27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1B2862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1B2862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6)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1B2862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  <w:p w:rsidR="00D130BD" w:rsidRPr="001B2862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1B2862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1B2862" w:rsidRDefault="00D130B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:rsidR="00D130BD" w:rsidRPr="001B2862" w:rsidRDefault="00D130B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лестниц и пешеходных зон</w:t>
            </w:r>
          </w:p>
          <w:p w:rsidR="00D130BD" w:rsidRPr="001B2862" w:rsidRDefault="00D130B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1B2862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1B2862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1B2862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1B2862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CB1484" w:rsidRDefault="00D130BD" w:rsidP="00AD6170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CB1484" w:rsidRDefault="00D130BD" w:rsidP="00AD6170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CB1484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CB1484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CB1484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CB1484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D130BD" w:rsidRPr="007F3835" w:rsidTr="004C747C">
        <w:trPr>
          <w:trHeight w:val="139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  <w:p w:rsidR="00D130BD" w:rsidRPr="007F3835" w:rsidRDefault="00D130B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D130BD" w:rsidRDefault="00D130B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</w:t>
            </w:r>
            <w:r w:rsidRPr="00D130B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во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30BD" w:rsidRPr="007F3835" w:rsidRDefault="00D130BD" w:rsidP="00D130BD">
            <w:pPr>
              <w:spacing w:after="0" w:line="240" w:lineRule="auto"/>
              <w:ind w:left="-29"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скамеек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мусорных контейнеров,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500BA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130BD" w:rsidRPr="007500BA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00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BD" w:rsidRPr="007F3835" w:rsidRDefault="00D130B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BD" w:rsidRPr="007F3835" w:rsidTr="00D130BD">
        <w:trPr>
          <w:trHeight w:val="31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D130BD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130BD" w:rsidRPr="007F3835" w:rsidTr="004C747C">
        <w:trPr>
          <w:trHeight w:val="29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мероприятий с оформлением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BD" w:rsidRPr="007F3835" w:rsidTr="006B46F6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D130BD" w:rsidRPr="007F3835" w:rsidRDefault="00D130B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наследия местного (муниципального) значения (Приложение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D130BD" w:rsidRPr="007F3835" w:rsidRDefault="00D130B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8B143F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BD" w:rsidRPr="007F3835" w:rsidTr="00AD6170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C5820" w:rsidRDefault="00D130BD" w:rsidP="0078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1508E9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1508E9" w:rsidRDefault="00D130B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D" w:rsidRPr="007F3835" w:rsidRDefault="00D130BD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**Количество территорий, на которых и 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озеленение, учитывается в обоих показателях.</w:t>
      </w:r>
    </w:p>
    <w:p w:rsidR="007F3835" w:rsidRPr="007F3835" w:rsidRDefault="007F3835" w:rsidP="007F3835"/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F3835" w:rsidRPr="007F3835" w:rsidTr="008A4B99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F878A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от 16.10.2020 №1093</w:t>
            </w:r>
          </w:p>
        </w:tc>
      </w:tr>
    </w:tbl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объектов, видовых площадок, скверов, памятных мест, 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прогулочных зон Находкинского городского округа, подлежащих текущему содержанию и озеленению  на 2021 г. -2024 г.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7F3835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 памятника погибшим партизанам  в 1918 - 1922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7F3835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7F3835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7F3835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Малиновского,2а-2, 18 м на восток от жилого дома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алиновского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7F3835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 до Низменного переулка, 35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7F3835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Озерный бульвар, 22 м на юго-восток от здания ТЦ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Озерному б-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Находкинский пр.,14 -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7F3835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7F3835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7F3835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7F3835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7F3835" w:rsidRPr="007F3835" w:rsidTr="00D96402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Территория, прилегающая к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F3835" w:rsidRPr="007F3835" w:rsidTr="00D9640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7F3835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7F3835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7F3835" w:rsidRPr="007F3835" w:rsidTr="00867E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7F3835" w:rsidRPr="007F3835" w:rsidTr="00867E5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7F3835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Пирогова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"стадион "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Приморец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7F3835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7F3835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7F3835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 /разворотное кольцо/, расположенный по Находкинскому пр.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7F3835" w:rsidRPr="007F3835" w:rsidTr="00D96402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7F3835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7F3835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7F3835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7F3835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7F3835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Прилегающая территория у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Победы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Великой Отечественной войне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7F3835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от центральной площади до поворота на мыс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Шефнера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125 м на северо-восток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0652EF" w:rsidRPr="007F3835" w:rsidTr="006707A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5128F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 Центральной площади, 27 м на северо-восток от здания 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5128F1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 ул. Гагарина, 13 - ул. Гагарина, 15, 12 м на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 запад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7F3835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7F3835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7F3835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села Ливадия, павшим в годы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7F3835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7F3835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автовокзала, 20 м на северо-запад от жилого дома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7F3835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монумента жителям села Анна,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7F3835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проспект, 9, 12 м на 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7F3835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пр., 11 - 17, 19 м на юго-восток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"Каскад"  Восточный пр., 33, 10 м на юг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0865C0" w:rsidRPr="007F3835" w:rsidTr="000865C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642343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поселка Врангель,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0865C0" w:rsidRPr="007F3835" w:rsidTr="00D96402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Волна, 450 м на юго-восток от санатория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оссейной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0865C0" w:rsidRPr="007F3835" w:rsidTr="000865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0865C0" w:rsidRPr="007F3835" w:rsidTr="00D96402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0865C0" w:rsidRPr="007F3835" w:rsidTr="00D96402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0865C0" w:rsidRPr="007F3835" w:rsidTr="002B171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0865C0" w:rsidRPr="007F3835" w:rsidTr="002B171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Лермонтова-Парковая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21372,2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бульвара Энтузиастов МЖК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левого берега р. Каменка /Находкинский пр. от угла здания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до моста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правого берега р. Каменка /прогулочная зона от здания ул. Малиновского, 32 до пер.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Низменный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Цветники в сквере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сквере ост. «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/порт» Находкинский пр. 66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на подпорной стенке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а/остановки «Ленинская»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кустарника «живая изгородь» от КПП до а/остановки «Тихоокеанская»/;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сирени; дерена  (в районе ул. Малиновского, 1а-4а; в районе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12) шт./м кв.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кедра;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0652EF" w:rsidRPr="007F3835" w:rsidTr="000865C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Цветники 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Врангель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(однолетние и многолетние)</w:t>
            </w: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кустарник (живая изгородь)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одиночные 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652EF" w:rsidRPr="00334397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</w:t>
            </w: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0652EF" w:rsidRPr="00334397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Ливадия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D66343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0652EF" w:rsidRPr="007F3835" w:rsidTr="003755C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/0,716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0652EF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652EF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652EF" w:rsidRPr="007F3835" w:rsidTr="003755C8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652EF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Озерном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  <w:proofErr w:type="gramEnd"/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0652EF" w:rsidRPr="007F3835" w:rsidTr="002B17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Шевченко – Находкинский пр. /в районе МБОУ СШ № 7 по ул. Шевченко, 1/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посадки можжевельника,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форзиции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0652EF" w:rsidRPr="007F3835" w:rsidTr="002B1715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уначарского,1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0652EF" w:rsidRPr="007F3835" w:rsidTr="002B171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0652EF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сирень,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луизиания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0652EF" w:rsidRPr="007F3835" w:rsidTr="00D6634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652EF" w:rsidRPr="007F3835" w:rsidTr="002B171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0652EF" w:rsidRPr="007F3835" w:rsidTr="000865C0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вдоль Находкинского пр. /со стороны ж/д вокзала «ст.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0652EF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а/вокзала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Рабатки на Находкинском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«Орден» и «Фейерверк» в р-не КПП на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0652EF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сквер 356 м на юго-восток от здания по адресу: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  <w:tr w:rsidR="000652EF" w:rsidRPr="007F3835" w:rsidTr="007D50A9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5128F1" w:rsidRDefault="000652EF" w:rsidP="007D50A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дома №15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рсеньева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5128F1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</w:p>
    <w:p w:rsidR="007F3835" w:rsidRPr="007F3835" w:rsidRDefault="007F3835" w:rsidP="00BF5629">
      <w:pPr>
        <w:tabs>
          <w:tab w:val="left" w:pos="10348"/>
        </w:tabs>
        <w:suppressAutoHyphens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F878A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</w:t>
            </w:r>
            <w:r w:rsidR="00214CE5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9A3E02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F52F46" w:rsidRPr="007F3835" w:rsidTr="00F52F46">
        <w:tc>
          <w:tcPr>
            <w:tcW w:w="773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4655">
              <w:rPr>
                <w:rFonts w:ascii="Times New Roman" w:hAnsi="Times New Roman" w:cs="Times New Roman"/>
              </w:rPr>
              <w:t>п</w:t>
            </w:r>
            <w:proofErr w:type="gramEnd"/>
            <w:r w:rsidRPr="004E46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4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F52F46" w:rsidRPr="007F383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A60C79" w:rsidRDefault="009A3E02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.А</w:t>
            </w:r>
            <w:proofErr w:type="gramEnd"/>
            <w:r w:rsidRPr="00A60C79">
              <w:rPr>
                <w:rFonts w:ascii="Times New Roman" w:hAnsi="Times New Roman" w:cs="Times New Roman"/>
              </w:rPr>
              <w:t>рсеньева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д.8 к д.9,10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A60C79" w:rsidRDefault="009A3E02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д.6 к д.6а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A60C79" w:rsidRDefault="009A3E02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д.2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A60C79" w:rsidRDefault="009A3E02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>, от д.2 к д.3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A60C79" w:rsidRDefault="009A3E02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A60C79" w:rsidRDefault="009A3E02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A60C79" w:rsidRDefault="009A3E02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Пешеходная зона в районе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.М</w:t>
            </w:r>
            <w:proofErr w:type="gramEnd"/>
            <w:r w:rsidRPr="00A60C79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A60C7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A60C79" w:rsidRDefault="009A3E02" w:rsidP="00F52F46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A60C79">
              <w:rPr>
                <w:rFonts w:ascii="Times New Roman" w:hAnsi="Times New Roman" w:cs="Times New Roman"/>
              </w:rPr>
              <w:t>, д.13 (текущий ремонт)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A60C79" w:rsidRDefault="009A3E02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«Лесная» в сторону домов 3а, 5а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.А</w:t>
            </w:r>
            <w:proofErr w:type="gramEnd"/>
            <w:r w:rsidRPr="00A60C79">
              <w:rPr>
                <w:rFonts w:ascii="Times New Roman" w:hAnsi="Times New Roman" w:cs="Times New Roman"/>
              </w:rPr>
              <w:t>стафьева</w:t>
            </w:r>
            <w:proofErr w:type="spellEnd"/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3E02" w:rsidRPr="005779F2" w:rsidTr="00F52F46">
        <w:tc>
          <w:tcPr>
            <w:tcW w:w="773" w:type="dxa"/>
            <w:vAlign w:val="center"/>
          </w:tcPr>
          <w:p w:rsidR="009A3E02" w:rsidRPr="006F4B0C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9A3E02" w:rsidRPr="006F4B0C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Лестница между зданиями ул</w:t>
            </w:r>
            <w:proofErr w:type="gramStart"/>
            <w:r w:rsidRPr="006F4B0C">
              <w:rPr>
                <w:rFonts w:ascii="Times New Roman" w:hAnsi="Times New Roman" w:cs="Times New Roman"/>
              </w:rPr>
              <w:t>.С</w:t>
            </w:r>
            <w:proofErr w:type="gramEnd"/>
            <w:r w:rsidRPr="006F4B0C">
              <w:rPr>
                <w:rFonts w:ascii="Times New Roman" w:hAnsi="Times New Roman" w:cs="Times New Roman"/>
              </w:rPr>
              <w:t xml:space="preserve">портивная,д.1 и </w:t>
            </w:r>
            <w:proofErr w:type="spellStart"/>
            <w:r w:rsidRPr="006F4B0C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6F4B0C">
              <w:rPr>
                <w:rFonts w:ascii="Times New Roman" w:hAnsi="Times New Roman" w:cs="Times New Roman"/>
              </w:rPr>
              <w:t xml:space="preserve">, д.7 до </w:t>
            </w:r>
            <w:proofErr w:type="spellStart"/>
            <w:r w:rsidRPr="006F4B0C">
              <w:rPr>
                <w:rFonts w:ascii="Times New Roman" w:hAnsi="Times New Roman" w:cs="Times New Roman"/>
              </w:rPr>
              <w:t>ул.Ленинградская</w:t>
            </w:r>
            <w:proofErr w:type="spellEnd"/>
            <w:r w:rsidRPr="006F4B0C"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3402" w:type="dxa"/>
            <w:vAlign w:val="center"/>
          </w:tcPr>
          <w:p w:rsidR="009A3E02" w:rsidRPr="006F4B0C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2022</w:t>
            </w:r>
          </w:p>
        </w:tc>
      </w:tr>
      <w:tr w:rsidR="009A3E02" w:rsidRPr="005779F2" w:rsidTr="009A3E02">
        <w:tc>
          <w:tcPr>
            <w:tcW w:w="773" w:type="dxa"/>
            <w:vAlign w:val="center"/>
          </w:tcPr>
          <w:p w:rsidR="009A3E02" w:rsidRPr="00A60C79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</w:t>
            </w:r>
            <w:r>
              <w:rPr>
                <w:rFonts w:ascii="Times New Roman" w:hAnsi="Times New Roman" w:cs="Times New Roman"/>
              </w:rPr>
              <w:t xml:space="preserve">а между домами </w:t>
            </w:r>
            <w:r w:rsidRPr="00A60C79">
              <w:rPr>
                <w:rFonts w:ascii="Times New Roman" w:hAnsi="Times New Roman" w:cs="Times New Roman"/>
              </w:rPr>
              <w:t xml:space="preserve"> 24-26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ограничной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2023</w:t>
            </w:r>
          </w:p>
        </w:tc>
      </w:tr>
      <w:tr w:rsidR="009A3E02" w:rsidRPr="005779F2" w:rsidTr="00F52F46">
        <w:trPr>
          <w:trHeight w:val="339"/>
        </w:trPr>
        <w:tc>
          <w:tcPr>
            <w:tcW w:w="773" w:type="dxa"/>
            <w:vAlign w:val="center"/>
          </w:tcPr>
          <w:p w:rsidR="009A3E02" w:rsidRPr="00A60C79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</w:t>
            </w:r>
            <w:r>
              <w:rPr>
                <w:rFonts w:ascii="Times New Roman" w:hAnsi="Times New Roman" w:cs="Times New Roman"/>
              </w:rPr>
              <w:t xml:space="preserve">а между домами </w:t>
            </w:r>
            <w:r w:rsidRPr="00A60C79">
              <w:rPr>
                <w:rFonts w:ascii="Times New Roman" w:hAnsi="Times New Roman" w:cs="Times New Roman"/>
              </w:rPr>
              <w:t xml:space="preserve"> 26-28</w:t>
            </w:r>
            <w:r>
              <w:rPr>
                <w:rFonts w:ascii="Times New Roman" w:hAnsi="Times New Roman" w:cs="Times New Roman"/>
              </w:rPr>
              <w:t xml:space="preserve"> 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ограничной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9A3E02" w:rsidRPr="005779F2" w:rsidTr="009A3E02">
        <w:trPr>
          <w:trHeight w:val="286"/>
        </w:trPr>
        <w:tc>
          <w:tcPr>
            <w:tcW w:w="773" w:type="dxa"/>
            <w:vAlign w:val="center"/>
          </w:tcPr>
          <w:p w:rsidR="009A3E02" w:rsidRPr="00A60C79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и пешеходная зона от Находкинский пр-т, д.116 до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.Л</w:t>
            </w:r>
            <w:proofErr w:type="gramEnd"/>
            <w:r w:rsidRPr="00A60C79">
              <w:rPr>
                <w:rFonts w:ascii="Times New Roman" w:hAnsi="Times New Roman" w:cs="Times New Roman"/>
              </w:rPr>
              <w:t>енинградская</w:t>
            </w:r>
            <w:proofErr w:type="spellEnd"/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2024</w:t>
            </w:r>
          </w:p>
        </w:tc>
      </w:tr>
      <w:tr w:rsidR="009A3E02" w:rsidRPr="007F3835" w:rsidTr="00F52F46">
        <w:tc>
          <w:tcPr>
            <w:tcW w:w="773" w:type="dxa"/>
            <w:vAlign w:val="center"/>
          </w:tcPr>
          <w:p w:rsidR="009A3E02" w:rsidRPr="00A60C79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ул.Врубеля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2024</w:t>
            </w:r>
          </w:p>
        </w:tc>
      </w:tr>
      <w:tr w:rsidR="009A3E02" w:rsidRPr="007F3835" w:rsidTr="00F52F46">
        <w:tc>
          <w:tcPr>
            <w:tcW w:w="773" w:type="dxa"/>
            <w:vAlign w:val="center"/>
          </w:tcPr>
          <w:p w:rsidR="009A3E02" w:rsidRPr="00A60C79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дома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ограничная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, 21 в районе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ул.Дубовая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до автобусной остановки</w:t>
            </w:r>
            <w:r>
              <w:rPr>
                <w:rFonts w:ascii="Times New Roman" w:hAnsi="Times New Roman" w:cs="Times New Roman"/>
              </w:rPr>
              <w:t xml:space="preserve"> «БЭП»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2024</w:t>
            </w:r>
          </w:p>
        </w:tc>
      </w:tr>
      <w:tr w:rsidR="009A3E02" w:rsidRPr="007F3835" w:rsidTr="00F52F46">
        <w:trPr>
          <w:trHeight w:val="361"/>
        </w:trPr>
        <w:tc>
          <w:tcPr>
            <w:tcW w:w="773" w:type="dxa"/>
            <w:vAlign w:val="center"/>
          </w:tcPr>
          <w:p w:rsidR="009A3E02" w:rsidRPr="00A60C79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14" w:type="dxa"/>
            <w:vAlign w:val="center"/>
          </w:tcPr>
          <w:p w:rsidR="009A3E02" w:rsidRPr="00A60C79" w:rsidRDefault="009A3E02" w:rsidP="009A3E02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A60C79">
              <w:rPr>
                <w:rFonts w:ascii="Times New Roman" w:hAnsi="Times New Roman" w:cs="Times New Roman"/>
              </w:rPr>
              <w:t>, д.13 (текущий ремонт)</w:t>
            </w:r>
          </w:p>
        </w:tc>
        <w:tc>
          <w:tcPr>
            <w:tcW w:w="3402" w:type="dxa"/>
            <w:vAlign w:val="center"/>
          </w:tcPr>
          <w:p w:rsidR="009A3E02" w:rsidRPr="00A60C79" w:rsidRDefault="009A3E02" w:rsidP="009A3E02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7F3835" w:rsidRDefault="007F3835" w:rsidP="007F3835">
      <w:r w:rsidRPr="007F383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652EF" w:rsidTr="005A1CFA">
        <w:tc>
          <w:tcPr>
            <w:tcW w:w="4644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0652EF" w:rsidRPr="004E5351" w:rsidRDefault="000652EF" w:rsidP="008A4B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5A1CF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0652EF" w:rsidRPr="004E5351" w:rsidRDefault="005A1CFA" w:rsidP="005A1CF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 1093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1003" w:rsidRDefault="00991003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3113"/>
        <w:gridCol w:w="1668"/>
      </w:tblGrid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культурного наследия </w:t>
            </w:r>
            <w:r w:rsidRPr="004E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(муниципального) значения</w:t>
            </w:r>
          </w:p>
        </w:tc>
        <w:tc>
          <w:tcPr>
            <w:tcW w:w="311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9A3E02" w:rsidRPr="00C42B7C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 - Памятник членам экипажа СРТМ «Бокситогорск», погибшего в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(этап проектирования)</w:t>
            </w:r>
          </w:p>
        </w:tc>
        <w:tc>
          <w:tcPr>
            <w:tcW w:w="3113" w:type="dxa"/>
          </w:tcPr>
          <w:p w:rsidR="009A3E02" w:rsidRPr="00C42B7C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г. Находка,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C42B7C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от жилого дома по пер. Гоголевский, 8</w:t>
            </w:r>
          </w:p>
        </w:tc>
        <w:tc>
          <w:tcPr>
            <w:tcW w:w="1668" w:type="dxa"/>
          </w:tcPr>
          <w:p w:rsidR="009A3E02" w:rsidRPr="00C42B7C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9A3E02" w:rsidRPr="00C42B7C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9A3E02" w:rsidRPr="00C42B7C" w:rsidRDefault="009A3E02" w:rsidP="009A3E02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42B7C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с. </w:t>
            </w:r>
            <w:proofErr w:type="spellStart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, в районе ул. Беляева, д.1</w:t>
            </w:r>
          </w:p>
        </w:tc>
        <w:tc>
          <w:tcPr>
            <w:tcW w:w="1668" w:type="dxa"/>
          </w:tcPr>
          <w:p w:rsidR="009A3E02" w:rsidRPr="00FF24FC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7B689A" w:rsidTr="00991003">
        <w:trPr>
          <w:trHeight w:val="908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3113" w:type="dxa"/>
          </w:tcPr>
          <w:p w:rsidR="009A3E02" w:rsidRPr="0052513E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9A3E02" w:rsidRPr="004E3857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1668" w:type="dxa"/>
          </w:tcPr>
          <w:p w:rsidR="009A3E02" w:rsidRPr="00FF24FC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7B689A" w:rsidTr="001B75CF">
        <w:trPr>
          <w:trHeight w:val="694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1668" w:type="dxa"/>
          </w:tcPr>
          <w:p w:rsidR="009A3E02" w:rsidRPr="00351FC3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3523A9" w:rsidTr="00991003">
        <w:trPr>
          <w:trHeight w:val="1006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 xml:space="preserve">Бюст Шалвы Георгиевича </w:t>
            </w:r>
            <w:proofErr w:type="spellStart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Надибаидзе</w:t>
            </w:r>
            <w:proofErr w:type="spellEnd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, возглавлявшего рыбную промышленность на Дальнем Востоке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г. Находка, п. </w:t>
            </w:r>
            <w:proofErr w:type="gramStart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Южно-Морской</w:t>
            </w:r>
            <w:proofErr w:type="gramEnd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, в районе ул. Центральная д.4</w:t>
            </w:r>
          </w:p>
        </w:tc>
        <w:tc>
          <w:tcPr>
            <w:tcW w:w="1668" w:type="dxa"/>
          </w:tcPr>
          <w:p w:rsidR="009A3E02" w:rsidRPr="00932586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3523A9" w:rsidTr="001B75CF">
        <w:trPr>
          <w:trHeight w:val="1441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 Южно-Морской, ул. Победы, в зеленой зоне у средней школы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, 2А.</w:t>
            </w:r>
          </w:p>
        </w:tc>
        <w:tc>
          <w:tcPr>
            <w:tcW w:w="1668" w:type="dxa"/>
          </w:tcPr>
          <w:p w:rsidR="009A3E02" w:rsidRPr="00932586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3523A9" w:rsidTr="001B75CF">
        <w:trPr>
          <w:trHeight w:val="980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932586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1668" w:type="dxa"/>
          </w:tcPr>
          <w:p w:rsidR="009A3E02" w:rsidRPr="00932586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3523A9" w:rsidTr="001B75CF">
        <w:trPr>
          <w:trHeight w:val="992"/>
        </w:trPr>
        <w:tc>
          <w:tcPr>
            <w:tcW w:w="663" w:type="dxa"/>
          </w:tcPr>
          <w:p w:rsidR="009A3E02" w:rsidRPr="006F4B0C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жителям поселка </w:t>
            </w:r>
            <w:proofErr w:type="gramStart"/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1668" w:type="dxa"/>
          </w:tcPr>
          <w:p w:rsidR="009A3E02" w:rsidRPr="0052513E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9A3E02">
        <w:trPr>
          <w:trHeight w:val="276"/>
        </w:trPr>
        <w:tc>
          <w:tcPr>
            <w:tcW w:w="663" w:type="dxa"/>
          </w:tcPr>
          <w:p w:rsidR="009A3E02" w:rsidRPr="009A3E02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62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3" w:type="dxa"/>
          </w:tcPr>
          <w:p w:rsidR="009A3E02" w:rsidRPr="009A3E02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8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3E02" w:rsidRPr="003523A9" w:rsidTr="001B75CF">
        <w:trPr>
          <w:trHeight w:val="930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1668" w:type="dxa"/>
          </w:tcPr>
          <w:p w:rsidR="009A3E02" w:rsidRPr="0067254A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1B75CF">
        <w:trPr>
          <w:trHeight w:val="1259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1668" w:type="dxa"/>
          </w:tcPr>
          <w:p w:rsidR="009A3E02" w:rsidRPr="0067254A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1B75CF">
        <w:trPr>
          <w:trHeight w:val="1134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жителям поселка </w:t>
            </w:r>
            <w:proofErr w:type="gram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Козьмино</w:t>
            </w:r>
            <w:proofErr w:type="gram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668" w:type="dxa"/>
          </w:tcPr>
          <w:p w:rsidR="009A3E02" w:rsidRPr="00C57BE5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1B75CF">
        <w:trPr>
          <w:trHeight w:val="1161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A3E02" w:rsidRPr="00C57BE5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991003">
        <w:tc>
          <w:tcPr>
            <w:tcW w:w="663" w:type="dxa"/>
          </w:tcPr>
          <w:p w:rsidR="009A3E02" w:rsidRPr="006F4B0C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Женщина с птицей «Мир», установленная в честь 30-летия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породнения</w:t>
            </w:r>
            <w:proofErr w:type="spell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Находка и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Майдзуру</w:t>
            </w:r>
            <w:proofErr w:type="spellEnd"/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1668" w:type="dxa"/>
          </w:tcPr>
          <w:p w:rsidR="009A3E02" w:rsidRPr="00C57BE5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Pr="008A4B99" w:rsidRDefault="00E030B2" w:rsidP="00D6634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E030B2" w:rsidRPr="007F3835" w:rsidRDefault="00E030B2" w:rsidP="00D66343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№1093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A6F13" w:rsidRPr="007F3835" w:rsidTr="00E207D4">
        <w:trPr>
          <w:trHeight w:val="707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6A6F13" w:rsidRPr="00E207D4" w:rsidRDefault="006A6F13" w:rsidP="002E05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42 м на юг от жилого дома по пр-т Мира, 32, общей площадью 1 678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2E05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A6F13" w:rsidRPr="007F3835" w:rsidTr="00E207D4">
        <w:trPr>
          <w:trHeight w:val="688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6A6F13" w:rsidRPr="00E207D4" w:rsidRDefault="006A6F13" w:rsidP="002E05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85 м на юг от здания по ул. Ленинская, 22, общей площадью 3 402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2E05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F13" w:rsidRPr="007F3835" w:rsidTr="00E207D4">
        <w:trPr>
          <w:trHeight w:val="712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6A6F13" w:rsidRPr="00E207D4" w:rsidRDefault="006A6F13" w:rsidP="002E05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63 м на запад от жилого дома по ул.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ситогорская</w:t>
            </w:r>
            <w:proofErr w:type="spellEnd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, 26, общей площадью 732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2E05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A6F13" w:rsidRPr="007F3835" w:rsidTr="00E207D4">
        <w:trPr>
          <w:trHeight w:val="695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6A6F13" w:rsidRPr="00E207D4" w:rsidRDefault="006A6F13" w:rsidP="002E05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75 м на северо-запад от жилого дома по ул.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ситогорская</w:t>
            </w:r>
            <w:proofErr w:type="spellEnd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, 2а, общей площадью 12 226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2E05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A6F13" w:rsidRPr="007F3835" w:rsidTr="00E207D4">
        <w:trPr>
          <w:trHeight w:val="690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6A6F13" w:rsidRPr="00E207D4" w:rsidRDefault="006A6F13" w:rsidP="002E05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70 м на восток от жилого дома по б-р Приморский, 3, общей площадью 3 804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2E05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466E44" w:rsidRPr="003523A9" w:rsidRDefault="00466E44" w:rsidP="00D130BD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66E44" w:rsidRPr="003523A9" w:rsidSect="00D130BD">
      <w:headerReference w:type="default" r:id="rId15"/>
      <w:pgSz w:w="11905" w:h="16838"/>
      <w:pgMar w:top="851" w:right="706" w:bottom="993" w:left="15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16" w:rsidRDefault="00DE2716" w:rsidP="006E7B7D">
      <w:pPr>
        <w:spacing w:after="0" w:line="240" w:lineRule="auto"/>
      </w:pPr>
      <w:r>
        <w:separator/>
      </w:r>
    </w:p>
  </w:endnote>
  <w:endnote w:type="continuationSeparator" w:id="0">
    <w:p w:rsidR="00DE2716" w:rsidRDefault="00DE2716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16" w:rsidRDefault="00DE2716" w:rsidP="006E7B7D">
      <w:pPr>
        <w:spacing w:after="0" w:line="240" w:lineRule="auto"/>
      </w:pPr>
      <w:r>
        <w:separator/>
      </w:r>
    </w:p>
  </w:footnote>
  <w:footnote w:type="continuationSeparator" w:id="0">
    <w:p w:rsidR="00DE2716" w:rsidRDefault="00DE2716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Content>
      <w:p w:rsidR="009A3E02" w:rsidRDefault="009A3E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BD">
          <w:rPr>
            <w:noProof/>
          </w:rPr>
          <w:t>8</w:t>
        </w:r>
        <w:r>
          <w:fldChar w:fldCharType="end"/>
        </w:r>
      </w:p>
    </w:sdtContent>
  </w:sdt>
  <w:p w:rsidR="009A3E02" w:rsidRDefault="009A3E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Content>
      <w:p w:rsidR="009A3E02" w:rsidRDefault="009A3E02">
        <w:pPr>
          <w:pStyle w:val="a4"/>
          <w:jc w:val="center"/>
        </w:pPr>
      </w:p>
      <w:p w:rsidR="009A3E02" w:rsidRDefault="009A3E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BD">
          <w:rPr>
            <w:noProof/>
          </w:rPr>
          <w:t>30</w:t>
        </w:r>
        <w:r>
          <w:fldChar w:fldCharType="end"/>
        </w:r>
      </w:p>
    </w:sdtContent>
  </w:sdt>
  <w:p w:rsidR="009A3E02" w:rsidRDefault="009A3E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10273"/>
    <w:rsid w:val="00011C3B"/>
    <w:rsid w:val="000150EF"/>
    <w:rsid w:val="00015AA3"/>
    <w:rsid w:val="00016DF2"/>
    <w:rsid w:val="00017145"/>
    <w:rsid w:val="0001768D"/>
    <w:rsid w:val="00021A15"/>
    <w:rsid w:val="000251C6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2313"/>
    <w:rsid w:val="00082B66"/>
    <w:rsid w:val="00083A7F"/>
    <w:rsid w:val="000865C0"/>
    <w:rsid w:val="00092D37"/>
    <w:rsid w:val="0009394B"/>
    <w:rsid w:val="000942E8"/>
    <w:rsid w:val="00095448"/>
    <w:rsid w:val="000A6A92"/>
    <w:rsid w:val="000A718B"/>
    <w:rsid w:val="000B06CF"/>
    <w:rsid w:val="000B3E99"/>
    <w:rsid w:val="000B469A"/>
    <w:rsid w:val="000B5161"/>
    <w:rsid w:val="000B5F2E"/>
    <w:rsid w:val="000C57B1"/>
    <w:rsid w:val="000C79E0"/>
    <w:rsid w:val="000D3F4B"/>
    <w:rsid w:val="000D7243"/>
    <w:rsid w:val="000E195C"/>
    <w:rsid w:val="000F4BA4"/>
    <w:rsid w:val="00102361"/>
    <w:rsid w:val="001053E5"/>
    <w:rsid w:val="00107A39"/>
    <w:rsid w:val="00112716"/>
    <w:rsid w:val="0012188B"/>
    <w:rsid w:val="00125499"/>
    <w:rsid w:val="00126B9B"/>
    <w:rsid w:val="001315CB"/>
    <w:rsid w:val="001328F8"/>
    <w:rsid w:val="001370AA"/>
    <w:rsid w:val="001370EC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6A38"/>
    <w:rsid w:val="001B7488"/>
    <w:rsid w:val="001B75CF"/>
    <w:rsid w:val="001C04C9"/>
    <w:rsid w:val="001C2C4E"/>
    <w:rsid w:val="001C39FD"/>
    <w:rsid w:val="001C3AAC"/>
    <w:rsid w:val="001C6F48"/>
    <w:rsid w:val="001D1040"/>
    <w:rsid w:val="001D1CB2"/>
    <w:rsid w:val="001D257A"/>
    <w:rsid w:val="001D6DC1"/>
    <w:rsid w:val="001E4F74"/>
    <w:rsid w:val="001F2188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3E2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638C"/>
    <w:rsid w:val="002E6633"/>
    <w:rsid w:val="002F0D2B"/>
    <w:rsid w:val="002F0E4C"/>
    <w:rsid w:val="002F28D6"/>
    <w:rsid w:val="002F2D87"/>
    <w:rsid w:val="002F4324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8A4"/>
    <w:rsid w:val="0034343A"/>
    <w:rsid w:val="003435ED"/>
    <w:rsid w:val="003507C2"/>
    <w:rsid w:val="00350F0B"/>
    <w:rsid w:val="00351FC3"/>
    <w:rsid w:val="003523A9"/>
    <w:rsid w:val="0035453A"/>
    <w:rsid w:val="003606AF"/>
    <w:rsid w:val="00362500"/>
    <w:rsid w:val="003672E6"/>
    <w:rsid w:val="003700AF"/>
    <w:rsid w:val="00370C0B"/>
    <w:rsid w:val="00373A78"/>
    <w:rsid w:val="003755C8"/>
    <w:rsid w:val="00376246"/>
    <w:rsid w:val="00382767"/>
    <w:rsid w:val="00384C57"/>
    <w:rsid w:val="00390DF8"/>
    <w:rsid w:val="00396590"/>
    <w:rsid w:val="00396634"/>
    <w:rsid w:val="0039757E"/>
    <w:rsid w:val="003A161E"/>
    <w:rsid w:val="003A27C6"/>
    <w:rsid w:val="003A2D81"/>
    <w:rsid w:val="003A337B"/>
    <w:rsid w:val="003A372E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4FFB"/>
    <w:rsid w:val="004455EA"/>
    <w:rsid w:val="004463F5"/>
    <w:rsid w:val="00454709"/>
    <w:rsid w:val="0046258C"/>
    <w:rsid w:val="0046541C"/>
    <w:rsid w:val="00466E44"/>
    <w:rsid w:val="004671BA"/>
    <w:rsid w:val="00467E66"/>
    <w:rsid w:val="00472D23"/>
    <w:rsid w:val="00473510"/>
    <w:rsid w:val="004815A8"/>
    <w:rsid w:val="004844F7"/>
    <w:rsid w:val="004849A9"/>
    <w:rsid w:val="00485E8C"/>
    <w:rsid w:val="004913CF"/>
    <w:rsid w:val="00492B46"/>
    <w:rsid w:val="004B3AA1"/>
    <w:rsid w:val="004B505E"/>
    <w:rsid w:val="004B6C35"/>
    <w:rsid w:val="004C0A3E"/>
    <w:rsid w:val="004C1A4C"/>
    <w:rsid w:val="004C747C"/>
    <w:rsid w:val="004D5F7A"/>
    <w:rsid w:val="004D752C"/>
    <w:rsid w:val="004E033B"/>
    <w:rsid w:val="004E3857"/>
    <w:rsid w:val="004E4655"/>
    <w:rsid w:val="004F0F89"/>
    <w:rsid w:val="004F1489"/>
    <w:rsid w:val="004F2FB9"/>
    <w:rsid w:val="004F4C83"/>
    <w:rsid w:val="005014F0"/>
    <w:rsid w:val="005100B0"/>
    <w:rsid w:val="005128F1"/>
    <w:rsid w:val="0051311D"/>
    <w:rsid w:val="005162E2"/>
    <w:rsid w:val="005207BE"/>
    <w:rsid w:val="00522859"/>
    <w:rsid w:val="0052513E"/>
    <w:rsid w:val="00526745"/>
    <w:rsid w:val="00526B3B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70BC"/>
    <w:rsid w:val="005604C8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6CE8"/>
    <w:rsid w:val="005C1BC2"/>
    <w:rsid w:val="005C3168"/>
    <w:rsid w:val="005D091B"/>
    <w:rsid w:val="005D1875"/>
    <w:rsid w:val="005D47DD"/>
    <w:rsid w:val="005E0F48"/>
    <w:rsid w:val="005E1819"/>
    <w:rsid w:val="005E39DC"/>
    <w:rsid w:val="005E60B4"/>
    <w:rsid w:val="005E7EBF"/>
    <w:rsid w:val="005F116E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9088F"/>
    <w:rsid w:val="00695DF4"/>
    <w:rsid w:val="006A216E"/>
    <w:rsid w:val="006A4CBA"/>
    <w:rsid w:val="006A5A8F"/>
    <w:rsid w:val="006A6F13"/>
    <w:rsid w:val="006B38FE"/>
    <w:rsid w:val="006B46F6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4B0C"/>
    <w:rsid w:val="006F540D"/>
    <w:rsid w:val="006F62DA"/>
    <w:rsid w:val="006F7EE0"/>
    <w:rsid w:val="007005DA"/>
    <w:rsid w:val="007012C9"/>
    <w:rsid w:val="00701BC9"/>
    <w:rsid w:val="0070273D"/>
    <w:rsid w:val="00703EEE"/>
    <w:rsid w:val="00707F57"/>
    <w:rsid w:val="00710570"/>
    <w:rsid w:val="00716404"/>
    <w:rsid w:val="00724EA1"/>
    <w:rsid w:val="0073200E"/>
    <w:rsid w:val="00732F66"/>
    <w:rsid w:val="007374C8"/>
    <w:rsid w:val="007425AB"/>
    <w:rsid w:val="00744993"/>
    <w:rsid w:val="00744D9B"/>
    <w:rsid w:val="0074560E"/>
    <w:rsid w:val="0074680D"/>
    <w:rsid w:val="007500BA"/>
    <w:rsid w:val="007566AB"/>
    <w:rsid w:val="007571D8"/>
    <w:rsid w:val="00763E0F"/>
    <w:rsid w:val="00764E72"/>
    <w:rsid w:val="00766E66"/>
    <w:rsid w:val="00771A93"/>
    <w:rsid w:val="00773791"/>
    <w:rsid w:val="007737A1"/>
    <w:rsid w:val="00781318"/>
    <w:rsid w:val="007829CF"/>
    <w:rsid w:val="007831D9"/>
    <w:rsid w:val="00787889"/>
    <w:rsid w:val="00794F80"/>
    <w:rsid w:val="00797F8D"/>
    <w:rsid w:val="007A110B"/>
    <w:rsid w:val="007B0FA6"/>
    <w:rsid w:val="007B3883"/>
    <w:rsid w:val="007B689A"/>
    <w:rsid w:val="007C0FBE"/>
    <w:rsid w:val="007C2771"/>
    <w:rsid w:val="007C2CEA"/>
    <w:rsid w:val="007C3492"/>
    <w:rsid w:val="007C50AC"/>
    <w:rsid w:val="007C5820"/>
    <w:rsid w:val="007C5CD7"/>
    <w:rsid w:val="007C7E31"/>
    <w:rsid w:val="007D03EA"/>
    <w:rsid w:val="007D3441"/>
    <w:rsid w:val="007D50A9"/>
    <w:rsid w:val="007D5D97"/>
    <w:rsid w:val="007D75F6"/>
    <w:rsid w:val="007E09BC"/>
    <w:rsid w:val="007E31A6"/>
    <w:rsid w:val="007E5335"/>
    <w:rsid w:val="007F164C"/>
    <w:rsid w:val="007F170D"/>
    <w:rsid w:val="007F3835"/>
    <w:rsid w:val="007F465C"/>
    <w:rsid w:val="007F734C"/>
    <w:rsid w:val="008004D0"/>
    <w:rsid w:val="00807D18"/>
    <w:rsid w:val="00812177"/>
    <w:rsid w:val="00823E8E"/>
    <w:rsid w:val="00824976"/>
    <w:rsid w:val="00832691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E8"/>
    <w:rsid w:val="008918B9"/>
    <w:rsid w:val="0089326D"/>
    <w:rsid w:val="008941B5"/>
    <w:rsid w:val="00894670"/>
    <w:rsid w:val="00896FAA"/>
    <w:rsid w:val="008A060A"/>
    <w:rsid w:val="008A3BC6"/>
    <w:rsid w:val="008A3C93"/>
    <w:rsid w:val="008A4B99"/>
    <w:rsid w:val="008B029A"/>
    <w:rsid w:val="008B1336"/>
    <w:rsid w:val="008B143F"/>
    <w:rsid w:val="008B3478"/>
    <w:rsid w:val="008B4E14"/>
    <w:rsid w:val="008C30C5"/>
    <w:rsid w:val="008C45ED"/>
    <w:rsid w:val="008D3F04"/>
    <w:rsid w:val="008D4BA1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2107E"/>
    <w:rsid w:val="00930FA8"/>
    <w:rsid w:val="00931D23"/>
    <w:rsid w:val="00932586"/>
    <w:rsid w:val="009347E8"/>
    <w:rsid w:val="00940861"/>
    <w:rsid w:val="00941643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6F77"/>
    <w:rsid w:val="00983317"/>
    <w:rsid w:val="00983526"/>
    <w:rsid w:val="009836C6"/>
    <w:rsid w:val="00984A00"/>
    <w:rsid w:val="00985206"/>
    <w:rsid w:val="00985950"/>
    <w:rsid w:val="009859B5"/>
    <w:rsid w:val="00986940"/>
    <w:rsid w:val="0099028A"/>
    <w:rsid w:val="0099029B"/>
    <w:rsid w:val="00990763"/>
    <w:rsid w:val="00991003"/>
    <w:rsid w:val="0099371F"/>
    <w:rsid w:val="009A08D8"/>
    <w:rsid w:val="009A0F09"/>
    <w:rsid w:val="009A3E02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7A56"/>
    <w:rsid w:val="009E299C"/>
    <w:rsid w:val="009E2B24"/>
    <w:rsid w:val="009E4567"/>
    <w:rsid w:val="009E6EF8"/>
    <w:rsid w:val="009F1002"/>
    <w:rsid w:val="009F5AC8"/>
    <w:rsid w:val="009F61C1"/>
    <w:rsid w:val="009F61E7"/>
    <w:rsid w:val="00A02D60"/>
    <w:rsid w:val="00A033ED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2E9E"/>
    <w:rsid w:val="00A55427"/>
    <w:rsid w:val="00A61514"/>
    <w:rsid w:val="00A61EF7"/>
    <w:rsid w:val="00A62AB9"/>
    <w:rsid w:val="00A62B5D"/>
    <w:rsid w:val="00A70C11"/>
    <w:rsid w:val="00A70E17"/>
    <w:rsid w:val="00A801B0"/>
    <w:rsid w:val="00A86385"/>
    <w:rsid w:val="00A86AC4"/>
    <w:rsid w:val="00A87320"/>
    <w:rsid w:val="00A936BE"/>
    <w:rsid w:val="00A97C7C"/>
    <w:rsid w:val="00AA0C40"/>
    <w:rsid w:val="00AA507A"/>
    <w:rsid w:val="00AA5325"/>
    <w:rsid w:val="00AA5421"/>
    <w:rsid w:val="00AA5C6B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4E6B"/>
    <w:rsid w:val="00AD4FAE"/>
    <w:rsid w:val="00AD6170"/>
    <w:rsid w:val="00AD7FE0"/>
    <w:rsid w:val="00AE43B9"/>
    <w:rsid w:val="00AE498C"/>
    <w:rsid w:val="00AE4AF7"/>
    <w:rsid w:val="00AF3272"/>
    <w:rsid w:val="00AF518B"/>
    <w:rsid w:val="00AF6C50"/>
    <w:rsid w:val="00B00273"/>
    <w:rsid w:val="00B02798"/>
    <w:rsid w:val="00B0329B"/>
    <w:rsid w:val="00B045ED"/>
    <w:rsid w:val="00B10D78"/>
    <w:rsid w:val="00B11D50"/>
    <w:rsid w:val="00B149F6"/>
    <w:rsid w:val="00B17B1C"/>
    <w:rsid w:val="00B204BB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5657"/>
    <w:rsid w:val="00B560E0"/>
    <w:rsid w:val="00B56FE7"/>
    <w:rsid w:val="00B60674"/>
    <w:rsid w:val="00B628DC"/>
    <w:rsid w:val="00B636FF"/>
    <w:rsid w:val="00B64038"/>
    <w:rsid w:val="00B66928"/>
    <w:rsid w:val="00B725E1"/>
    <w:rsid w:val="00B73AA7"/>
    <w:rsid w:val="00B764C7"/>
    <w:rsid w:val="00B8192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B082B"/>
    <w:rsid w:val="00BB3FFD"/>
    <w:rsid w:val="00BB4779"/>
    <w:rsid w:val="00BC418F"/>
    <w:rsid w:val="00BC54F3"/>
    <w:rsid w:val="00BC7835"/>
    <w:rsid w:val="00BD5E53"/>
    <w:rsid w:val="00BD737C"/>
    <w:rsid w:val="00BE0629"/>
    <w:rsid w:val="00BE2ACE"/>
    <w:rsid w:val="00BF043D"/>
    <w:rsid w:val="00BF15C5"/>
    <w:rsid w:val="00BF5629"/>
    <w:rsid w:val="00C00B89"/>
    <w:rsid w:val="00C043B9"/>
    <w:rsid w:val="00C04C78"/>
    <w:rsid w:val="00C04C86"/>
    <w:rsid w:val="00C10F14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986"/>
    <w:rsid w:val="00C64AB2"/>
    <w:rsid w:val="00C67730"/>
    <w:rsid w:val="00C8354B"/>
    <w:rsid w:val="00C84BA8"/>
    <w:rsid w:val="00C933B6"/>
    <w:rsid w:val="00C93766"/>
    <w:rsid w:val="00C9544D"/>
    <w:rsid w:val="00C95DC5"/>
    <w:rsid w:val="00CA2E32"/>
    <w:rsid w:val="00CB0D85"/>
    <w:rsid w:val="00CB1484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47DE"/>
    <w:rsid w:val="00CE4A38"/>
    <w:rsid w:val="00CE5027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30BD"/>
    <w:rsid w:val="00D14CF4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211F"/>
    <w:rsid w:val="00D66343"/>
    <w:rsid w:val="00D67C17"/>
    <w:rsid w:val="00D744BA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840"/>
    <w:rsid w:val="00DA0F44"/>
    <w:rsid w:val="00DA2F65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716"/>
    <w:rsid w:val="00DE2B8E"/>
    <w:rsid w:val="00DE2D77"/>
    <w:rsid w:val="00DE3724"/>
    <w:rsid w:val="00DE554D"/>
    <w:rsid w:val="00DE7274"/>
    <w:rsid w:val="00DF4CE4"/>
    <w:rsid w:val="00DF4FCD"/>
    <w:rsid w:val="00DF67F1"/>
    <w:rsid w:val="00E030B2"/>
    <w:rsid w:val="00E0377F"/>
    <w:rsid w:val="00E10573"/>
    <w:rsid w:val="00E12CB9"/>
    <w:rsid w:val="00E13408"/>
    <w:rsid w:val="00E14212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73B8B"/>
    <w:rsid w:val="00E74EA7"/>
    <w:rsid w:val="00E76A9C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6235"/>
    <w:rsid w:val="00ED793C"/>
    <w:rsid w:val="00EE2473"/>
    <w:rsid w:val="00EE328B"/>
    <w:rsid w:val="00EE57F1"/>
    <w:rsid w:val="00EF183E"/>
    <w:rsid w:val="00EF2AC0"/>
    <w:rsid w:val="00EF5090"/>
    <w:rsid w:val="00EF510F"/>
    <w:rsid w:val="00F1154E"/>
    <w:rsid w:val="00F14DB8"/>
    <w:rsid w:val="00F16BE2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418D"/>
    <w:rsid w:val="00F550CE"/>
    <w:rsid w:val="00F60878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6CB2"/>
    <w:rsid w:val="00FB2B8C"/>
    <w:rsid w:val="00FB33E0"/>
    <w:rsid w:val="00FB50D3"/>
    <w:rsid w:val="00FB5B99"/>
    <w:rsid w:val="00FC2B2A"/>
    <w:rsid w:val="00FC621D"/>
    <w:rsid w:val="00FD1E65"/>
    <w:rsid w:val="00FD1EE1"/>
    <w:rsid w:val="00FD2661"/>
    <w:rsid w:val="00FD33A7"/>
    <w:rsid w:val="00FD4601"/>
    <w:rsid w:val="00FD46F1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AE4E-6CD4-410A-9EA8-2646E7B7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31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Ваганова</dc:creator>
  <cp:keywords/>
  <dc:description/>
  <cp:lastModifiedBy>Сырцова Людмила Николаевна</cp:lastModifiedBy>
  <cp:revision>8</cp:revision>
  <cp:lastPrinted>2022-03-01T00:02:00Z</cp:lastPrinted>
  <dcterms:created xsi:type="dcterms:W3CDTF">2022-02-15T01:12:00Z</dcterms:created>
  <dcterms:modified xsi:type="dcterms:W3CDTF">2022-04-10T23:40:00Z</dcterms:modified>
</cp:coreProperties>
</file>