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93" w:rsidRPr="00C03F8D" w:rsidRDefault="00D42293" w:rsidP="00D42293">
      <w:pPr>
        <w:suppressAutoHyphens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Pr="00484F5C">
        <w:rPr>
          <w:sz w:val="26"/>
          <w:szCs w:val="26"/>
        </w:rPr>
        <w:t xml:space="preserve"> </w:t>
      </w:r>
    </w:p>
    <w:p w:rsidR="00D42293" w:rsidRPr="00C03F8D" w:rsidRDefault="00D42293" w:rsidP="00D42293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Pr="00306008">
        <w:rPr>
          <w:bCs/>
          <w:sz w:val="26"/>
          <w:szCs w:val="26"/>
          <w:u w:val="single"/>
        </w:rPr>
        <w:t xml:space="preserve">июля </w:t>
      </w:r>
      <w:r>
        <w:rPr>
          <w:bCs/>
          <w:sz w:val="26"/>
          <w:szCs w:val="26"/>
        </w:rPr>
        <w:t>2017 года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Pr="00306008">
        <w:rPr>
          <w:bCs/>
          <w:sz w:val="26"/>
          <w:szCs w:val="26"/>
          <w:u w:val="single"/>
        </w:rPr>
        <w:t xml:space="preserve">939 </w:t>
      </w:r>
    </w:p>
    <w:p w:rsidR="00D42293" w:rsidRDefault="00D42293" w:rsidP="00D42293">
      <w:pPr>
        <w:suppressAutoHyphens/>
        <w:ind w:right="-29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МУНИЦИПАЛЬНАЯ ПРОГРАММА</w:t>
      </w:r>
    </w:p>
    <w:p w:rsidR="00412EAC" w:rsidRPr="00412EAC" w:rsidRDefault="00412EAC" w:rsidP="00412EAC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 на 2018-2023 годы</w:t>
      </w:r>
    </w:p>
    <w:p w:rsidR="00412EAC" w:rsidRPr="00412EAC" w:rsidRDefault="00412EAC" w:rsidP="00412EAC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ПАСПОРТ </w:t>
      </w:r>
    </w:p>
    <w:p w:rsidR="00412EAC" w:rsidRPr="00412EAC" w:rsidRDefault="00412EAC" w:rsidP="00412EAC">
      <w:pPr>
        <w:suppressAutoHyphens/>
        <w:ind w:right="-29"/>
        <w:jc w:val="center"/>
        <w:rPr>
          <w:b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муниципальной программы</w:t>
      </w:r>
    </w:p>
    <w:p w:rsidR="00412EAC" w:rsidRPr="00412EAC" w:rsidRDefault="00412EAC" w:rsidP="00412EAC">
      <w:pPr>
        <w:suppressAutoHyphens/>
        <w:ind w:right="-29"/>
        <w:jc w:val="center"/>
        <w:rPr>
          <w:sz w:val="26"/>
          <w:szCs w:val="26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0"/>
        <w:gridCol w:w="5528"/>
      </w:tblGrid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412EAC" w:rsidRPr="00412EAC" w:rsidTr="00412EAC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Задачи муниципальной программы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412EAC" w:rsidRPr="00412EAC" w:rsidRDefault="00412EAC" w:rsidP="00412EAC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  <w:p w:rsidR="00412EAC" w:rsidRPr="00412EAC" w:rsidRDefault="00412EAC" w:rsidP="00412EAC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lastRenderedPageBreak/>
              <w:t>2. Удельный вес компьютеров, подключенных к компьютерной сети, имеющих доступ к сети Интернет.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2018 г. –  8 242,00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2019 г. – 10 467,00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2020 г. – 14 507,00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2021 г. – 11 215,36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2022 г. – 11 641,54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2023 г. – 12 037,36 тыс. руб.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 w:rsidRPr="00412EAC">
              <w:t xml:space="preserve"> </w:t>
            </w:r>
            <w:r w:rsidRPr="00412EAC">
              <w:rPr>
                <w:sz w:val="26"/>
                <w:szCs w:val="26"/>
              </w:rPr>
              <w:t xml:space="preserve">средств бюджета Находкинского городского округа составляет 40 908,42 тыс. руб., в том числе по годам: 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2018 г. – 6 765,00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 xml:space="preserve">2019 г. – 8 949,02 тыс. руб. 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2020 г. – 7 088,00 тыс. руб.</w:t>
            </w:r>
            <w:r w:rsidRPr="00412EAC">
              <w:rPr>
                <w:color w:val="FF0000"/>
                <w:sz w:val="26"/>
                <w:szCs w:val="26"/>
              </w:rPr>
              <w:t xml:space="preserve"> 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2021 г. – 10 606,00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2022 г. – 3 530,40 тыс. руб.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2023 г. – 4 149,40 тыс. руб.</w:t>
            </w:r>
          </w:p>
        </w:tc>
      </w:tr>
      <w:tr w:rsidR="00412EAC" w:rsidRPr="00412EAC" w:rsidTr="00412EAC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412EAC" w:rsidRPr="00412EAC" w:rsidRDefault="00412EAC" w:rsidP="00412EAC">
            <w:pPr>
              <w:widowControl w:val="0"/>
              <w:suppressAutoHyphens/>
              <w:autoSpaceDE w:val="0"/>
              <w:autoSpaceDN w:val="0"/>
              <w:adjustRightInd w:val="0"/>
              <w:ind w:right="108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412EAC" w:rsidRPr="00412EAC" w:rsidRDefault="00412EAC" w:rsidP="00412E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О</w:t>
            </w:r>
            <w:r w:rsidRPr="00412EAC">
              <w:rPr>
                <w:rFonts w:eastAsia="Calibri"/>
                <w:sz w:val="26"/>
                <w:szCs w:val="26"/>
              </w:rPr>
              <w:t xml:space="preserve">беспечение базовым комплектом </w:t>
            </w:r>
            <w:r w:rsidRPr="00412EAC">
              <w:rPr>
                <w:rFonts w:eastAsia="Calibri"/>
                <w:sz w:val="26"/>
                <w:szCs w:val="26"/>
              </w:rPr>
              <w:lastRenderedPageBreak/>
              <w:t xml:space="preserve">лицензионных программных продуктов автоматизированных рабочих мест - </w:t>
            </w:r>
            <w:r w:rsidRPr="00412EAC">
              <w:rPr>
                <w:sz w:val="26"/>
                <w:szCs w:val="26"/>
              </w:rPr>
              <w:t>100%.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412EAC" w:rsidRPr="00412EAC" w:rsidRDefault="00412EAC" w:rsidP="00412EA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12EAC">
              <w:rPr>
                <w:rFonts w:eastAsia="Calibri"/>
                <w:sz w:val="26"/>
                <w:szCs w:val="26"/>
              </w:rPr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412EAC" w:rsidRPr="00412EAC" w:rsidRDefault="00412EAC" w:rsidP="00412EAC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412EAC" w:rsidRPr="00412EAC" w:rsidRDefault="00412EAC" w:rsidP="00412EAC">
            <w:pPr>
              <w:jc w:val="both"/>
              <w:rPr>
                <w:sz w:val="26"/>
                <w:szCs w:val="26"/>
              </w:rPr>
            </w:pPr>
            <w:r w:rsidRPr="00412EAC"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2020 году – 4 человека.</w:t>
            </w:r>
          </w:p>
        </w:tc>
      </w:tr>
    </w:tbl>
    <w:p w:rsidR="00D42293" w:rsidRDefault="00D42293" w:rsidP="00D42293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05672" w:rsidRDefault="00D05672" w:rsidP="00250E1B">
      <w:pPr>
        <w:suppressAutoHyphens/>
        <w:ind w:right="-29"/>
        <w:rPr>
          <w:bCs/>
          <w:sz w:val="26"/>
          <w:szCs w:val="26"/>
        </w:rPr>
      </w:pPr>
    </w:p>
    <w:p w:rsidR="00E17926" w:rsidRPr="004E05E3" w:rsidRDefault="00E17926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4A11A7">
      <w:pPr>
        <w:numPr>
          <w:ilvl w:val="0"/>
          <w:numId w:val="1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зданий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>.</w:t>
      </w:r>
      <w:r w:rsidR="00F752A6">
        <w:rPr>
          <w:sz w:val="26"/>
          <w:szCs w:val="26"/>
        </w:rPr>
        <w:t xml:space="preserve">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lastRenderedPageBreak/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>, «Кодекс».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</w:t>
      </w:r>
      <w:r w:rsidR="00C02C36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>ереведены</w:t>
      </w:r>
      <w:r w:rsidR="00F752A6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F752A6">
        <w:rPr>
          <w:sz w:val="26"/>
          <w:szCs w:val="26"/>
        </w:rPr>
        <w:t xml:space="preserve">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исполнения требований информационной безопасности, </w:t>
      </w:r>
      <w:r w:rsidRPr="004E05E3">
        <w:rPr>
          <w:sz w:val="26"/>
          <w:szCs w:val="26"/>
        </w:rPr>
        <w:lastRenderedPageBreak/>
        <w:t>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систем.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</w:t>
      </w:r>
      <w:r w:rsidR="00F752A6">
        <w:rPr>
          <w:sz w:val="26"/>
          <w:szCs w:val="26"/>
        </w:rPr>
        <w:t xml:space="preserve">  </w:t>
      </w:r>
      <w:r w:rsidR="000E77DB" w:rsidRPr="004E05E3">
        <w:rPr>
          <w:sz w:val="26"/>
          <w:szCs w:val="26"/>
        </w:rPr>
        <w:t xml:space="preserve">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 xml:space="preserve"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соответствии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с 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требованиями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Федерального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>онных 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D42293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1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lastRenderedPageBreak/>
        <w:t xml:space="preserve"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D42293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</w:p>
    <w:p w:rsidR="003706B8" w:rsidRPr="008546C9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4A11A7">
      <w:pPr>
        <w:numPr>
          <w:ilvl w:val="0"/>
          <w:numId w:val="2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6"/>
        <w:gridCol w:w="2975"/>
        <w:gridCol w:w="3544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К3 = стр. 304 (количество персональных компьютеров, имеющих доступ к глобальным информационным сетям, </w:t>
            </w:r>
            <w:r w:rsidRPr="004E05E3">
              <w:rPr>
                <w:sz w:val="26"/>
                <w:szCs w:val="26"/>
              </w:rPr>
              <w:lastRenderedPageBreak/>
              <w:t>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lastRenderedPageBreak/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3: Статистический отчет 3-информ «Сведения об использовании информационных и коммуникационных технологий и производстве вычислительной техники, </w:t>
            </w:r>
            <w:r w:rsidRPr="004E05E3">
              <w:rPr>
                <w:sz w:val="26"/>
                <w:szCs w:val="26"/>
              </w:rPr>
              <w:lastRenderedPageBreak/>
              <w:t>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9" w:history="1"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proofErr w:type="spellEnd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4E05E3">
              <w:rPr>
                <w:sz w:val="26"/>
                <w:szCs w:val="26"/>
              </w:rPr>
              <w:t xml:space="preserve">, </w:t>
            </w:r>
            <w:proofErr w:type="spellStart"/>
            <w:r w:rsidRPr="004E05E3">
              <w:rPr>
                <w:sz w:val="26"/>
                <w:szCs w:val="26"/>
              </w:rPr>
              <w:t>находка</w:t>
            </w:r>
            <w:proofErr w:type="gramStart"/>
            <w:r w:rsidRPr="004E05E3">
              <w:rPr>
                <w:sz w:val="26"/>
                <w:szCs w:val="26"/>
              </w:rPr>
              <w:t>.р</w:t>
            </w:r>
            <w:proofErr w:type="gramEnd"/>
            <w:r w:rsidRPr="004E05E3">
              <w:rPr>
                <w:sz w:val="26"/>
                <w:szCs w:val="26"/>
              </w:rPr>
              <w:t>ф</w:t>
            </w:r>
            <w:proofErr w:type="spellEnd"/>
            <w:r w:rsidRPr="004E05E3">
              <w:rPr>
                <w:sz w:val="26"/>
                <w:szCs w:val="26"/>
              </w:rPr>
              <w:t>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Количество </w:t>
            </w:r>
            <w:r w:rsidRPr="004E05E3">
              <w:rPr>
                <w:sz w:val="26"/>
                <w:szCs w:val="26"/>
              </w:rPr>
              <w:lastRenderedPageBreak/>
              <w:t>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 xml:space="preserve">Общее количество </w:t>
            </w:r>
            <w:r w:rsidRPr="004E05E3">
              <w:rPr>
                <w:sz w:val="26"/>
                <w:szCs w:val="26"/>
              </w:rPr>
              <w:lastRenderedPageBreak/>
              <w:t>рабочих мест с доступом к государственным и региональным информационным системам, системам межведомственного 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7C67D0" w:rsidRPr="007C67D0">
        <w:rPr>
          <w:rFonts w:ascii="Times New Roman" w:hAnsi="Times New Roman" w:cs="Times New Roman"/>
          <w:sz w:val="26"/>
          <w:szCs w:val="26"/>
        </w:rPr>
        <w:lastRenderedPageBreak/>
        <w:t>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 xml:space="preserve">Приобретение (обновление) лицензионного программного обеспечения является обязательным мероприятием, требующим финансирования, последствия </w:t>
      </w:r>
      <w:r w:rsidR="00D42293" w:rsidRPr="004E05E3">
        <w:rPr>
          <w:sz w:val="26"/>
          <w:szCs w:val="26"/>
        </w:rPr>
        <w:t>не</w:t>
      </w:r>
      <w:r w:rsidR="00D42293">
        <w:rPr>
          <w:sz w:val="26"/>
          <w:szCs w:val="26"/>
        </w:rPr>
        <w:t>выполнения</w:t>
      </w:r>
      <w:r w:rsidRPr="004E05E3">
        <w:rPr>
          <w:sz w:val="26"/>
          <w:szCs w:val="26"/>
        </w:rPr>
        <w:t xml:space="preserve">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</w:t>
      </w:r>
      <w:r w:rsidRPr="004E05E3">
        <w:rPr>
          <w:sz w:val="26"/>
          <w:szCs w:val="26"/>
        </w:rPr>
        <w:lastRenderedPageBreak/>
        <w:t xml:space="preserve">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>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proofErr w:type="spellStart"/>
      <w:r w:rsidRPr="004E05E3">
        <w:rPr>
          <w:sz w:val="26"/>
          <w:szCs w:val="26"/>
          <w:lang w:val="en-US"/>
        </w:rPr>
        <w:t>nakhodka</w:t>
      </w:r>
      <w:proofErr w:type="spellEnd"/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proofErr w:type="spellStart"/>
      <w:r w:rsidRPr="004E05E3">
        <w:rPr>
          <w:sz w:val="26"/>
          <w:szCs w:val="26"/>
          <w:lang w:val="en-US"/>
        </w:rPr>
        <w:t>ru</w:t>
      </w:r>
      <w:proofErr w:type="spellEnd"/>
      <w:r w:rsidRPr="004E05E3">
        <w:rPr>
          <w:sz w:val="26"/>
          <w:szCs w:val="26"/>
        </w:rPr>
        <w:t xml:space="preserve"> и </w:t>
      </w:r>
      <w:proofErr w:type="spellStart"/>
      <w:r w:rsidRPr="004E05E3">
        <w:rPr>
          <w:sz w:val="26"/>
          <w:szCs w:val="26"/>
        </w:rPr>
        <w:t>находка.рф</w:t>
      </w:r>
      <w:proofErr w:type="spellEnd"/>
      <w:r w:rsidRPr="004E05E3">
        <w:rPr>
          <w:sz w:val="26"/>
          <w:szCs w:val="26"/>
        </w:rPr>
        <w:t>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не 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2018 г. –  8 242,00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2019 г. –  10 467,00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4A11A7">
      <w:pPr>
        <w:pStyle w:val="ConsPlusNormal"/>
        <w:numPr>
          <w:ilvl w:val="1"/>
          <w:numId w:val="4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lastRenderedPageBreak/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является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mc:AlternateContent>
          <mc:Choice Requires="wpc">
            <w:drawing>
              <wp:inline distT="0" distB="0" distL="0" distR="0">
                <wp:extent cx="899795" cy="677545"/>
                <wp:effectExtent l="0" t="0" r="14605" b="8255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412EAC" w:rsidRDefault="00412EAC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EAC" w:rsidRDefault="00412EAC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70.85pt;height:53.35pt;mso-position-horizontal-relative:char;mso-position-vertical-relative:line" coordsize="8997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BGiDpr3AAAAAUBAAAPAAAAZHJzL2Rvd25yZXYueG1sTI9LT8MwEITvSPwHa5G4UacP2irEqRCI&#10;Cz2loNKjG28ewl5HsZuGf8+WS7msZjWrmW+zzeisGLAPrScF00kCAqn0pqVawefH28MaRIiajLae&#10;UMEPBtjktzeZTo0/U4HDLtaCQyikWkETY5dKGcoGnQ4T3yGxV/ne6chrX0vT6zOHOytnSbKUTrfE&#10;DY3u8KXB8nt3cgpMYYfw9V5Vw3Y23xavj4f9fL9Q6v5ufH4CEXGM12O44DM65Mx09CcyQVgF/Ej8&#10;mxdvMV2BOLJIliuQeSb/0+e/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EaIOmv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97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dD74AAADaAAAADwAAAGRycy9kb3ducmV2LnhtbESPwQrCMBBE74L/EFbwpqmC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ut0PvgAAANoAAAAPAAAAAAAAAAAAAAAAAKEC&#10;AABkcnMvZG93bnJldi54bWxQSwUGAAAAAAQABAD5AAAAjAMAAAAA&#10;" strokeweight=".55pt"/>
                <v:rect id="Rectangle 21" o:spid="_x0000_s1029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12EAC" w:rsidRDefault="00412EAC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412EAC" w:rsidRDefault="00412EAC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12EAC" w:rsidRDefault="00412EAC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снижение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При использовании данной формулы в случаях, если </w:t>
      </w:r>
      <w:proofErr w:type="spellStart"/>
      <w:r w:rsidRPr="00CC6F95">
        <w:t>IЦj</w:t>
      </w:r>
      <w:proofErr w:type="spellEnd"/>
      <w:r w:rsidRPr="00CC6F95">
        <w:t xml:space="preserve"> больше 1, значение </w:t>
      </w:r>
      <w:proofErr w:type="spellStart"/>
      <w:r w:rsidRPr="00CC6F95">
        <w:t>IЦj</w:t>
      </w:r>
      <w:proofErr w:type="spellEnd"/>
      <w:r w:rsidRPr="00CC6F95">
        <w:t xml:space="preserve">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r w:rsidRPr="00CC6F95">
        <w:rPr>
          <w:vertAlign w:val="subscript"/>
        </w:rPr>
        <w:t>i</w:t>
      </w:r>
      <w:proofErr w:type="spellEnd"/>
      <w:r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= </w:t>
      </w: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/ </w:t>
      </w: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- фактические расходы на реализацию </w:t>
      </w:r>
      <w:r>
        <w:t>П</w:t>
      </w:r>
      <w:r w:rsidRPr="00CC6F95">
        <w:t>рограммы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lastRenderedPageBreak/>
        <w:t>З</w:t>
      </w:r>
      <w:r w:rsidRPr="00CC6F95">
        <w:rPr>
          <w:vertAlign w:val="subscript"/>
        </w:rPr>
        <w:t>план</w:t>
      </w:r>
      <w:proofErr w:type="spellEnd"/>
      <w:r w:rsidRPr="00CC6F95">
        <w:t xml:space="preserve"> - </w:t>
      </w:r>
      <w:r>
        <w:t>плановые расходы на реализацию П</w:t>
      </w:r>
      <w:r w:rsidRPr="00CC6F95">
        <w:t>рограммы в отчетном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отчетный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= </w:t>
      </w: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CC6F95">
        <w:t>ненаступление</w:t>
      </w:r>
      <w:proofErr w:type="spellEnd"/>
      <w:r w:rsidRPr="00CC6F95">
        <w:t xml:space="preserve"> события (событий) и (или) достижение качественного результата (оценка проводится экспертно).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lastRenderedPageBreak/>
        <w:t>Iц</w:t>
      </w:r>
      <w:proofErr w:type="spellEnd"/>
      <w:r w:rsidRPr="00CC6F95">
        <w:t xml:space="preserve">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>ы признается высокой, в случае если значение</w:t>
      </w:r>
      <w:proofErr w:type="gramStart"/>
      <w:r w:rsidR="00E641A4">
        <w:t xml:space="preserve"> </w:t>
      </w:r>
      <w:r w:rsidRPr="00CC6F95">
        <w:t>Э</w:t>
      </w:r>
      <w:proofErr w:type="gramEnd"/>
      <w:r w:rsidRPr="00CC6F95">
        <w:t xml:space="preserve"> составляет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средней,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удовлетворительной,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неудовлетворительной.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6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lastRenderedPageBreak/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D42293" w:rsidRPr="00D42293" w:rsidTr="00D4229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Значения целевого показателя (индикатора)</w:t>
            </w:r>
          </w:p>
        </w:tc>
      </w:tr>
      <w:tr w:rsidR="00D42293" w:rsidRPr="00D42293" w:rsidTr="00D42293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Ожидаемые конечные результаты</w:t>
            </w:r>
          </w:p>
        </w:tc>
      </w:tr>
      <w:tr w:rsidR="00D42293" w:rsidRPr="00D42293" w:rsidTr="00D422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42293" w:rsidRPr="00D42293" w:rsidTr="00D42293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D42293" w:rsidRPr="00D42293" w:rsidTr="00ED65C2">
        <w:trPr>
          <w:trHeight w:val="1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Default="00D42293" w:rsidP="0084699D">
            <w:pPr>
              <w:rPr>
                <w:color w:val="000000"/>
                <w:sz w:val="24"/>
                <w:szCs w:val="24"/>
                <w:lang w:val="en-US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компьютерной сети, имеющих доступ к сети Интернет</w:t>
            </w:r>
          </w:p>
          <w:p w:rsidR="0084699D" w:rsidRPr="0084699D" w:rsidRDefault="0084699D" w:rsidP="0084699D">
            <w:pPr>
              <w:rPr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D65C2" w:rsidRPr="00D42293" w:rsidTr="00ED65C2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bookmarkStart w:id="1" w:name="_Hlk70405869"/>
            <w:r w:rsidRPr="00D42293">
              <w:rPr>
                <w:color w:val="000000"/>
              </w:rPr>
              <w:lastRenderedPageBreak/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bookmarkEnd w:id="1"/>
      <w:tr w:rsidR="00ED65C2" w:rsidRPr="00D42293" w:rsidTr="00ED65C2">
        <w:trPr>
          <w:trHeight w:val="2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ED65C2" w:rsidRPr="00D42293" w:rsidTr="00D42293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31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системе электронного документооборота</w:t>
            </w:r>
          </w:p>
          <w:p w:rsidR="00453431" w:rsidRPr="00D42293" w:rsidRDefault="00453431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ED65C2" w:rsidRPr="00D42293" w:rsidTr="00D42293">
        <w:trPr>
          <w:trHeight w:val="1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ED65C2" w:rsidRPr="00D42293" w:rsidTr="00ED65C2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ED65C2" w:rsidRPr="00D42293" w:rsidTr="001C29C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lastRenderedPageBreak/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ED65C2" w:rsidRPr="00D42293" w:rsidTr="00ED65C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ED65C2" w:rsidRPr="00D42293" w:rsidTr="00D42293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технологий, к 2021г. - 4 человека.</w:t>
            </w:r>
          </w:p>
        </w:tc>
      </w:tr>
    </w:tbl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lastRenderedPageBreak/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84699D" w:rsidRDefault="00D967AC" w:rsidP="00D967AC">
      <w:pPr>
        <w:suppressAutoHyphens/>
        <w:ind w:right="-29" w:firstLine="170"/>
        <w:jc w:val="center"/>
        <w:rPr>
          <w:b/>
          <w:sz w:val="26"/>
          <w:szCs w:val="26"/>
          <w:lang w:val="en-US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tbl>
      <w:tblPr>
        <w:tblW w:w="152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851"/>
        <w:gridCol w:w="1417"/>
        <w:gridCol w:w="709"/>
        <w:gridCol w:w="1134"/>
        <w:gridCol w:w="1134"/>
        <w:gridCol w:w="1134"/>
        <w:gridCol w:w="1247"/>
        <w:gridCol w:w="1163"/>
        <w:gridCol w:w="1251"/>
      </w:tblGrid>
      <w:tr w:rsidR="0084699D" w:rsidRPr="0084699D" w:rsidTr="000340C0">
        <w:trPr>
          <w:trHeight w:val="6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84699D" w:rsidRPr="0084699D" w:rsidTr="000340C0">
        <w:trPr>
          <w:trHeight w:val="4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</w:tr>
      <w:tr w:rsidR="0084699D" w:rsidRPr="0084699D" w:rsidTr="000340C0">
        <w:trPr>
          <w:trHeight w:val="3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4699D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84699D" w:rsidRPr="0084699D" w:rsidTr="000340C0">
        <w:trPr>
          <w:trHeight w:val="2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4699D" w:rsidRPr="0084699D" w:rsidTr="000340C0">
        <w:trPr>
          <w:trHeight w:val="591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Default="0084699D" w:rsidP="0084699D">
            <w:pPr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</w:rPr>
              <w:t>Всего 52 820,02 тыс. руб.,</w:t>
            </w:r>
          </w:p>
          <w:p w:rsidR="0084699D" w:rsidRPr="0084699D" w:rsidRDefault="0084699D" w:rsidP="0084699D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7088,00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10606,00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3530,40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4149,40</w:t>
            </w:r>
          </w:p>
        </w:tc>
      </w:tr>
      <w:tr w:rsidR="0084699D" w:rsidRPr="0084699D" w:rsidTr="000340C0">
        <w:trPr>
          <w:trHeight w:val="27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в том числе:</w:t>
            </w:r>
          </w:p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</w:tr>
      <w:tr w:rsidR="0084699D" w:rsidRPr="0084699D" w:rsidTr="000340C0">
        <w:trPr>
          <w:trHeight w:val="12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7985,79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6988,00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9D" w:rsidRPr="0084699D" w:rsidRDefault="0084699D" w:rsidP="0084699D">
            <w:pPr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9504,06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3530,40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4 149,40</w:t>
            </w:r>
          </w:p>
        </w:tc>
      </w:tr>
      <w:tr w:rsidR="0084699D" w:rsidRPr="0084699D" w:rsidTr="000340C0">
        <w:trPr>
          <w:trHeight w:val="26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863,23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1101,</w:t>
            </w:r>
            <w:r w:rsidRPr="0084699D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0340C0">
        <w:trPr>
          <w:trHeight w:val="11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0340C0">
        <w:trPr>
          <w:trHeight w:val="10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0340C0">
        <w:trPr>
          <w:trHeight w:val="18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</w:rPr>
            </w:pPr>
            <w:r w:rsidRPr="0084699D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4699D" w:rsidRPr="0084699D" w:rsidTr="0084699D">
        <w:trPr>
          <w:trHeight w:val="2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84699D" w:rsidRPr="0084699D" w:rsidTr="0084699D">
        <w:trPr>
          <w:trHeight w:val="16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200</w:t>
            </w:r>
            <w:r w:rsidRPr="0084699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 w:rsidRPr="0084699D">
              <w:rPr>
                <w:sz w:val="24"/>
                <w:szCs w:val="24"/>
                <w:lang w:val="en-US"/>
              </w:rPr>
              <w:t>855,171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84699D" w:rsidRPr="0084699D" w:rsidTr="000340C0">
        <w:trPr>
          <w:trHeight w:val="60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98,06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84699D">
        <w:trPr>
          <w:trHeight w:val="653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 w:rsidRPr="0084699D">
              <w:rPr>
                <w:sz w:val="24"/>
                <w:szCs w:val="24"/>
              </w:rPr>
              <w:t>1101,</w:t>
            </w:r>
            <w:r w:rsidRPr="0084699D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84699D">
        <w:trPr>
          <w:trHeight w:val="125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1886,02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 w:rsidRPr="0084699D">
              <w:rPr>
                <w:sz w:val="24"/>
                <w:szCs w:val="24"/>
                <w:lang w:val="en-US"/>
              </w:rPr>
              <w:t>3659,16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2294,40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2049,40</w:t>
            </w:r>
          </w:p>
        </w:tc>
      </w:tr>
      <w:tr w:rsidR="0084699D" w:rsidRPr="0084699D" w:rsidTr="000340C0">
        <w:trPr>
          <w:trHeight w:val="181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140,00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4699D" w:rsidRPr="0084699D" w:rsidTr="0084699D">
        <w:trPr>
          <w:trHeight w:val="1807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3</w:t>
            </w:r>
            <w:r w:rsidRPr="0084699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32,67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4699D" w:rsidRPr="0084699D" w:rsidTr="0084699D">
        <w:trPr>
          <w:trHeight w:val="11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351,32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</w:rPr>
            </w:pPr>
            <w:r w:rsidRPr="0084699D">
              <w:rPr>
                <w:sz w:val="24"/>
                <w:szCs w:val="24"/>
              </w:rPr>
              <w:t>323,17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84699D" w:rsidRPr="0084699D" w:rsidTr="0084699D">
        <w:trPr>
          <w:trHeight w:val="2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84699D" w:rsidRPr="0084699D" w:rsidTr="0084699D">
        <w:trPr>
          <w:trHeight w:val="1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3799,12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sz w:val="24"/>
                <w:szCs w:val="24"/>
                <w:lang w:val="en-US"/>
              </w:rPr>
            </w:pPr>
            <w:r w:rsidRPr="0084699D">
              <w:rPr>
                <w:sz w:val="24"/>
                <w:szCs w:val="24"/>
                <w:lang w:val="en-US"/>
              </w:rPr>
              <w:t>4395,829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84699D" w:rsidRPr="0084699D" w:rsidTr="0084699D">
        <w:trPr>
          <w:trHeight w:val="18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4699D" w:rsidRPr="0084699D" w:rsidTr="000340C0">
        <w:trPr>
          <w:trHeight w:val="273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99D" w:rsidRPr="0084699D" w:rsidTr="000340C0">
        <w:trPr>
          <w:trHeight w:val="189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9D" w:rsidRPr="0084699D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  <w:lang w:val="en-US"/>
              </w:rPr>
              <w:t>0</w:t>
            </w:r>
            <w:r w:rsidRPr="0084699D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9D" w:rsidRPr="0084699D" w:rsidRDefault="0084699D" w:rsidP="0084699D">
            <w:pPr>
              <w:jc w:val="center"/>
              <w:rPr>
                <w:color w:val="000000"/>
                <w:sz w:val="24"/>
                <w:szCs w:val="24"/>
              </w:rPr>
            </w:pPr>
            <w:r w:rsidRPr="0084699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84699D" w:rsidRDefault="0084699D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262" w:rsidRDefault="00D74262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84699D" w:rsidRPr="0084699D" w:rsidRDefault="0084699D" w:rsidP="00D74262">
      <w:pPr>
        <w:suppressAutoHyphens/>
        <w:ind w:right="-29" w:firstLine="170"/>
        <w:jc w:val="center"/>
        <w:rPr>
          <w:b/>
          <w:sz w:val="26"/>
          <w:szCs w:val="26"/>
          <w:lang w:val="en-US"/>
        </w:rPr>
      </w:pPr>
    </w:p>
    <w:tbl>
      <w:tblPr>
        <w:tblStyle w:val="22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2835"/>
      </w:tblGrid>
      <w:tr w:rsidR="0084699D" w:rsidRPr="0084699D" w:rsidTr="000340C0">
        <w:trPr>
          <w:trHeight w:val="315"/>
          <w:jc w:val="center"/>
        </w:trPr>
        <w:tc>
          <w:tcPr>
            <w:tcW w:w="704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69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мероприятия, отдельного мероприятия</w:t>
            </w:r>
          </w:p>
        </w:tc>
        <w:tc>
          <w:tcPr>
            <w:tcW w:w="1276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84699D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6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мероприятия</w:t>
            </w:r>
          </w:p>
        </w:tc>
        <w:tc>
          <w:tcPr>
            <w:tcW w:w="2835" w:type="dxa"/>
            <w:vMerge w:val="restart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84699D" w:rsidRPr="0084699D" w:rsidTr="000340C0">
        <w:trPr>
          <w:trHeight w:val="315"/>
          <w:jc w:val="center"/>
        </w:trPr>
        <w:tc>
          <w:tcPr>
            <w:tcW w:w="704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0340C0">
        <w:trPr>
          <w:trHeight w:val="315"/>
          <w:jc w:val="center"/>
        </w:trPr>
        <w:tc>
          <w:tcPr>
            <w:tcW w:w="704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vMerge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0340C0">
        <w:trPr>
          <w:trHeight w:val="167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699D" w:rsidRPr="0084699D" w:rsidTr="0084699D">
        <w:trPr>
          <w:trHeight w:val="1006"/>
          <w:jc w:val="center"/>
        </w:trPr>
        <w:tc>
          <w:tcPr>
            <w:tcW w:w="704" w:type="dxa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84699D">
        <w:trPr>
          <w:trHeight w:val="70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Поддержка бесперебойной работы компьютерной и оргтехники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numPr>
                <w:ilvl w:val="0"/>
                <w:numId w:val="6"/>
              </w:numPr>
              <w:tabs>
                <w:tab w:val="left" w:pos="451"/>
              </w:tabs>
              <w:suppressAutoHyphens/>
              <w:ind w:right="-29" w:firstLine="1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Уровень обеспеченности (доля) рабочих мест современными персональными компьютерами.</w:t>
            </w:r>
          </w:p>
        </w:tc>
      </w:tr>
      <w:tr w:rsidR="0084699D" w:rsidRPr="0084699D" w:rsidTr="000340C0">
        <w:trPr>
          <w:trHeight w:val="188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4699D" w:rsidRPr="0084699D" w:rsidTr="000340C0">
        <w:trPr>
          <w:trHeight w:val="1748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компьютеров, подключенных к компьютерной сети, имеющих доступ к сети Интернет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84699D" w:rsidRPr="0084699D" w:rsidTr="000340C0">
        <w:trPr>
          <w:trHeight w:val="1543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84699D" w:rsidRPr="0084699D" w:rsidTr="000340C0">
        <w:trPr>
          <w:trHeight w:val="1969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84699D" w:rsidRPr="0084699D" w:rsidTr="0084699D">
        <w:trPr>
          <w:trHeight w:val="2749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84699D" w:rsidRPr="0084699D" w:rsidTr="0084699D">
        <w:trPr>
          <w:trHeight w:val="248"/>
          <w:jc w:val="center"/>
        </w:trPr>
        <w:tc>
          <w:tcPr>
            <w:tcW w:w="704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84699D" w:rsidRPr="0084699D" w:rsidTr="000340C0">
        <w:trPr>
          <w:trHeight w:val="1464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6. Количество защищенных рабочих мест с доступом </w:t>
            </w:r>
            <w:proofErr w:type="gramStart"/>
            <w:r w:rsidRPr="0084699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699D">
              <w:rPr>
                <w:rFonts w:ascii="Times New Roman" w:hAnsi="Times New Roman"/>
                <w:sz w:val="24"/>
                <w:szCs w:val="24"/>
              </w:rPr>
              <w:t xml:space="preserve"> государственным и региональным информационным</w:t>
            </w:r>
          </w:p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99D" w:rsidRPr="0084699D" w:rsidTr="000340C0">
        <w:trPr>
          <w:trHeight w:val="3075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системам, системам межведомственного электронного взаимодействия.</w:t>
            </w:r>
          </w:p>
        </w:tc>
      </w:tr>
      <w:tr w:rsidR="0084699D" w:rsidRPr="0084699D" w:rsidTr="000340C0">
        <w:trPr>
          <w:trHeight w:val="447"/>
          <w:jc w:val="center"/>
        </w:trPr>
        <w:tc>
          <w:tcPr>
            <w:tcW w:w="704" w:type="dxa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84699D" w:rsidRPr="0084699D" w:rsidTr="000340C0">
        <w:trPr>
          <w:trHeight w:val="2625"/>
          <w:jc w:val="center"/>
        </w:trPr>
        <w:tc>
          <w:tcPr>
            <w:tcW w:w="704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76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84699D" w:rsidRPr="0084699D" w:rsidRDefault="0084699D" w:rsidP="0084699D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99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hideMark/>
          </w:tcPr>
          <w:p w:rsidR="0084699D" w:rsidRPr="0084699D" w:rsidRDefault="0084699D" w:rsidP="0084699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99D">
              <w:rPr>
                <w:rFonts w:ascii="Times New Roman" w:hAnsi="Times New Roman"/>
                <w:sz w:val="24"/>
                <w:szCs w:val="24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9326B2" w:rsidRPr="00A4393C" w:rsidRDefault="009326B2" w:rsidP="004A11A7">
      <w:pPr>
        <w:suppressAutoHyphens/>
        <w:ind w:right="-29" w:firstLine="170"/>
        <w:jc w:val="center"/>
        <w:rPr>
          <w:sz w:val="26"/>
          <w:szCs w:val="26"/>
        </w:rPr>
      </w:pPr>
    </w:p>
    <w:sectPr w:rsidR="009326B2" w:rsidRPr="00A4393C" w:rsidSect="0084699D">
      <w:pgSz w:w="16840" w:h="11907" w:orient="landscape" w:code="9"/>
      <w:pgMar w:top="567" w:right="567" w:bottom="993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AC" w:rsidRDefault="00412EAC" w:rsidP="00E73D4C">
      <w:r>
        <w:separator/>
      </w:r>
    </w:p>
  </w:endnote>
  <w:endnote w:type="continuationSeparator" w:id="0">
    <w:p w:rsidR="00412EAC" w:rsidRDefault="00412EAC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AC" w:rsidRDefault="00412EAC" w:rsidP="00E73D4C">
      <w:r>
        <w:separator/>
      </w:r>
    </w:p>
  </w:footnote>
  <w:footnote w:type="continuationSeparator" w:id="0">
    <w:p w:rsidR="00412EAC" w:rsidRDefault="00412EAC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C" w:rsidRDefault="00412EA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4699D">
      <w:rPr>
        <w:noProof/>
      </w:rPr>
      <w:t>4</w:t>
    </w:r>
    <w:r>
      <w:fldChar w:fldCharType="end"/>
    </w:r>
  </w:p>
  <w:p w:rsidR="00412EAC" w:rsidRDefault="00412E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2BF7"/>
    <w:multiLevelType w:val="hybridMultilevel"/>
    <w:tmpl w:val="2F0A0EF2"/>
    <w:lvl w:ilvl="0" w:tplc="3EEAF0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61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9CF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1C2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2EAC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431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37DB"/>
    <w:rsid w:val="00494585"/>
    <w:rsid w:val="00494ED8"/>
    <w:rsid w:val="0049515A"/>
    <w:rsid w:val="004952C9"/>
    <w:rsid w:val="00496147"/>
    <w:rsid w:val="00497221"/>
    <w:rsid w:val="0049747D"/>
    <w:rsid w:val="004979C4"/>
    <w:rsid w:val="004A11A7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47448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B14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4699D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5AF3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6AB5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2C36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2293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1AF8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5C2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B1"/>
    <w:rsid w:val="00F7412C"/>
    <w:rsid w:val="00F74232"/>
    <w:rsid w:val="00F752A6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CD48-79D9-4C9A-A7A8-D3E3B00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30</Pages>
  <Words>5152</Words>
  <Characters>39988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45050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4</cp:revision>
  <cp:lastPrinted>2018-07-19T02:44:00Z</cp:lastPrinted>
  <dcterms:created xsi:type="dcterms:W3CDTF">2022-06-20T23:43:00Z</dcterms:created>
  <dcterms:modified xsi:type="dcterms:W3CDTF">2022-06-21T23:02:00Z</dcterms:modified>
</cp:coreProperties>
</file>