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049ED">
              <w:rPr>
                <w:sz w:val="28"/>
                <w:szCs w:val="28"/>
              </w:rPr>
              <w:t>4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CC616E" w:rsidP="000049ED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53</w:t>
            </w:r>
            <w:r>
              <w:rPr>
                <w:sz w:val="28"/>
                <w:szCs w:val="28"/>
                <w:lang w:val="en-US"/>
              </w:rPr>
              <w:t>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273AA">
              <w:rPr>
                <w:rFonts w:ascii="Times New Roman CYR" w:hAnsi="Times New Roman CYR" w:cs="Times New Roman CYR"/>
                <w:sz w:val="28"/>
                <w:szCs w:val="28"/>
              </w:rPr>
              <w:t>79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A74223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bookmarkStart w:id="0" w:name="_GoBack"/>
      <w:bookmarkEnd w:id="0"/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Об отказе </w:t>
      </w:r>
      <w:r w:rsidR="00ED67E7" w:rsidRPr="00BB1FEE">
        <w:rPr>
          <w:sz w:val="28"/>
          <w:szCs w:val="28"/>
        </w:rPr>
        <w:t xml:space="preserve">в </w:t>
      </w:r>
      <w:r w:rsidRPr="00BB1FEE">
        <w:rPr>
          <w:sz w:val="28"/>
          <w:szCs w:val="28"/>
        </w:rPr>
        <w:t xml:space="preserve">регистрации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0049ED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5F45DA">
        <w:rPr>
          <w:sz w:val="28"/>
          <w:szCs w:val="28"/>
        </w:rPr>
        <w:t>5</w:t>
      </w:r>
    </w:p>
    <w:p w:rsidR="008B6AD0" w:rsidRPr="00BB1FEE" w:rsidRDefault="005F45DA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Искоркиной</w:t>
      </w:r>
      <w:proofErr w:type="spellEnd"/>
      <w:r>
        <w:rPr>
          <w:sz w:val="28"/>
          <w:szCs w:val="28"/>
        </w:rPr>
        <w:t xml:space="preserve"> Надежды</w:t>
      </w:r>
      <w:r w:rsidR="008E7BA4">
        <w:rPr>
          <w:sz w:val="28"/>
          <w:szCs w:val="28"/>
        </w:rPr>
        <w:t xml:space="preserve"> Сергеевны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</w:t>
      </w:r>
      <w:proofErr w:type="spellStart"/>
      <w:r w:rsidR="005F45DA">
        <w:rPr>
          <w:sz w:val="28"/>
          <w:szCs w:val="28"/>
        </w:rPr>
        <w:t>Искоркина</w:t>
      </w:r>
      <w:proofErr w:type="spellEnd"/>
      <w:r w:rsidR="005F45DA">
        <w:rPr>
          <w:sz w:val="28"/>
          <w:szCs w:val="28"/>
        </w:rPr>
        <w:t xml:space="preserve"> Надежда </w:t>
      </w:r>
      <w:r w:rsidR="00D44071">
        <w:rPr>
          <w:sz w:val="28"/>
          <w:szCs w:val="28"/>
        </w:rPr>
        <w:t>Сергеевна</w:t>
      </w:r>
      <w:r w:rsidR="00D44071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подал</w:t>
      </w:r>
      <w:r w:rsidR="00D44071">
        <w:rPr>
          <w:sz w:val="28"/>
          <w:szCs w:val="28"/>
        </w:rPr>
        <w:t>а</w:t>
      </w:r>
      <w:r w:rsidRPr="00BB1FEE">
        <w:rPr>
          <w:sz w:val="28"/>
          <w:szCs w:val="28"/>
        </w:rPr>
        <w:t xml:space="preserve">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 w:rsidR="0016234E">
        <w:rPr>
          <w:sz w:val="28"/>
          <w:szCs w:val="28"/>
        </w:rPr>
        <w:t>ат</w:t>
      </w:r>
      <w:r w:rsidR="00D44071">
        <w:rPr>
          <w:sz w:val="28"/>
          <w:szCs w:val="28"/>
        </w:rPr>
        <w:t>ному</w:t>
      </w:r>
      <w:proofErr w:type="spellEnd"/>
      <w:r w:rsidR="00D44071">
        <w:rPr>
          <w:sz w:val="28"/>
          <w:szCs w:val="28"/>
        </w:rPr>
        <w:t xml:space="preserve"> избир</w:t>
      </w:r>
      <w:r w:rsidR="005F45DA">
        <w:rPr>
          <w:sz w:val="28"/>
          <w:szCs w:val="28"/>
        </w:rPr>
        <w:t>ательному округу № 5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0049ED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8B6AD0" w:rsidRPr="00BB1FEE">
        <w:rPr>
          <w:sz w:val="28"/>
          <w:szCs w:val="28"/>
        </w:rPr>
        <w:t xml:space="preserve"> июля 2022 года кандидатом </w:t>
      </w:r>
      <w:proofErr w:type="spellStart"/>
      <w:r w:rsidR="005F45DA">
        <w:rPr>
          <w:sz w:val="28"/>
          <w:szCs w:val="28"/>
        </w:rPr>
        <w:t>Искоркиной</w:t>
      </w:r>
      <w:proofErr w:type="spellEnd"/>
      <w:r w:rsidR="005F45DA">
        <w:rPr>
          <w:sz w:val="28"/>
          <w:szCs w:val="28"/>
        </w:rPr>
        <w:t xml:space="preserve"> Надеждой </w:t>
      </w:r>
      <w:r w:rsidR="00D44071">
        <w:rPr>
          <w:sz w:val="28"/>
          <w:szCs w:val="28"/>
        </w:rPr>
        <w:t>Сергеевной</w:t>
      </w:r>
      <w:r w:rsidR="00D44071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04 июля 2022 года кандидатом </w:t>
      </w:r>
      <w:proofErr w:type="spellStart"/>
      <w:r w:rsidR="005F45DA">
        <w:rPr>
          <w:sz w:val="28"/>
          <w:szCs w:val="28"/>
        </w:rPr>
        <w:t>Искоркиной</w:t>
      </w:r>
      <w:proofErr w:type="spellEnd"/>
      <w:r w:rsidR="005F45DA">
        <w:rPr>
          <w:sz w:val="28"/>
          <w:szCs w:val="28"/>
        </w:rPr>
        <w:t xml:space="preserve"> Надеждой </w:t>
      </w:r>
      <w:r w:rsidR="00D44071">
        <w:rPr>
          <w:sz w:val="28"/>
          <w:szCs w:val="28"/>
        </w:rPr>
        <w:t>Сергеевной</w:t>
      </w:r>
      <w:r w:rsidR="00D44071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был открыт специальный избирательный счет.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5F45DA">
        <w:rPr>
          <w:sz w:val="28"/>
          <w:szCs w:val="28"/>
        </w:rPr>
        <w:t>5</w:t>
      </w:r>
      <w:r w:rsidRPr="00BB1FEE">
        <w:rPr>
          <w:sz w:val="28"/>
          <w:szCs w:val="28"/>
        </w:rPr>
        <w:t xml:space="preserve"> </w:t>
      </w:r>
      <w:proofErr w:type="spellStart"/>
      <w:r w:rsidR="005F45DA">
        <w:rPr>
          <w:sz w:val="28"/>
          <w:szCs w:val="28"/>
        </w:rPr>
        <w:t>Искоркиной</w:t>
      </w:r>
      <w:proofErr w:type="spellEnd"/>
      <w:r w:rsidR="005F45DA">
        <w:rPr>
          <w:sz w:val="28"/>
          <w:szCs w:val="28"/>
        </w:rPr>
        <w:t xml:space="preserve"> Надеждой </w:t>
      </w:r>
      <w:r w:rsidR="00D44071">
        <w:rPr>
          <w:sz w:val="28"/>
          <w:szCs w:val="28"/>
        </w:rPr>
        <w:t>Сергеевной</w:t>
      </w:r>
      <w:r w:rsidR="00D44071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требованиям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BB1FEE">
        <w:rPr>
          <w:sz w:val="28"/>
          <w:szCs w:val="28"/>
        </w:rPr>
        <w:t xml:space="preserve"> Находки установила следующее.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5F45DA">
        <w:rPr>
          <w:sz w:val="28"/>
          <w:szCs w:val="28"/>
        </w:rPr>
        <w:t>5</w:t>
      </w:r>
      <w:r w:rsidRPr="00BB1FEE">
        <w:rPr>
          <w:sz w:val="28"/>
          <w:szCs w:val="28"/>
        </w:rPr>
        <w:t xml:space="preserve"> </w:t>
      </w:r>
      <w:proofErr w:type="spellStart"/>
      <w:r w:rsidR="005F45DA">
        <w:rPr>
          <w:sz w:val="28"/>
          <w:szCs w:val="28"/>
        </w:rPr>
        <w:t>Искоркиной</w:t>
      </w:r>
      <w:proofErr w:type="spellEnd"/>
      <w:r w:rsidR="005F45DA">
        <w:rPr>
          <w:sz w:val="28"/>
          <w:szCs w:val="28"/>
        </w:rPr>
        <w:t xml:space="preserve"> Надеждой</w:t>
      </w:r>
      <w:r w:rsidR="00D44071">
        <w:rPr>
          <w:sz w:val="28"/>
          <w:szCs w:val="28"/>
        </w:rPr>
        <w:t xml:space="preserve"> </w:t>
      </w:r>
      <w:r w:rsidR="00D44071">
        <w:rPr>
          <w:sz w:val="28"/>
          <w:szCs w:val="28"/>
        </w:rPr>
        <w:lastRenderedPageBreak/>
        <w:t>Сергеевной</w:t>
      </w:r>
      <w:r w:rsidR="00D44071" w:rsidRPr="00BB1FEE">
        <w:rPr>
          <w:sz w:val="28"/>
          <w:szCs w:val="28"/>
        </w:rPr>
        <w:t xml:space="preserve"> </w:t>
      </w:r>
      <w:r w:rsidR="005F45DA">
        <w:rPr>
          <w:sz w:val="28"/>
          <w:szCs w:val="28"/>
        </w:rPr>
        <w:t>были представлены 23</w:t>
      </w:r>
      <w:r w:rsidRPr="00BB1FEE">
        <w:rPr>
          <w:sz w:val="28"/>
          <w:szCs w:val="28"/>
        </w:rPr>
        <w:t xml:space="preserve"> подписи избирателей на </w:t>
      </w:r>
      <w:r w:rsidR="005F45DA">
        <w:rPr>
          <w:sz w:val="28"/>
          <w:szCs w:val="28"/>
        </w:rPr>
        <w:t>5</w:t>
      </w:r>
      <w:r w:rsidRPr="00BB1FEE">
        <w:rPr>
          <w:sz w:val="28"/>
          <w:szCs w:val="28"/>
        </w:rPr>
        <w:t xml:space="preserve"> листах. В соответствии со статьей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риморского края было проверено 24 подписи.</w:t>
      </w:r>
    </w:p>
    <w:p w:rsidR="008B6AD0" w:rsidRPr="00D44071" w:rsidRDefault="008B6AD0" w:rsidP="005F45DA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>В соответствии с подпункт</w:t>
      </w:r>
      <w:r w:rsidR="00C43FD2">
        <w:rPr>
          <w:sz w:val="28"/>
          <w:szCs w:val="28"/>
        </w:rPr>
        <w:t>ами</w:t>
      </w:r>
      <w:r w:rsidRPr="00BB1FEE">
        <w:rPr>
          <w:sz w:val="28"/>
          <w:szCs w:val="28"/>
        </w:rPr>
        <w:t xml:space="preserve"> </w:t>
      </w:r>
      <w:r w:rsidR="005F45DA">
        <w:rPr>
          <w:sz w:val="28"/>
          <w:szCs w:val="28"/>
        </w:rPr>
        <w:t>8</w:t>
      </w:r>
      <w:r w:rsidRPr="00BB1FEE">
        <w:rPr>
          <w:sz w:val="28"/>
          <w:szCs w:val="28"/>
        </w:rPr>
        <w:t xml:space="preserve">, 9 части 11 статьи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риморского края н</w:t>
      </w:r>
      <w:r w:rsidR="005F45DA">
        <w:rPr>
          <w:sz w:val="28"/>
          <w:szCs w:val="28"/>
        </w:rPr>
        <w:t>едействительной были признаны 23</w:t>
      </w:r>
      <w:r w:rsidRPr="00BB1FEE">
        <w:rPr>
          <w:sz w:val="28"/>
          <w:szCs w:val="28"/>
        </w:rPr>
        <w:t xml:space="preserve"> (двадцать </w:t>
      </w:r>
      <w:r w:rsidR="005F45DA">
        <w:rPr>
          <w:sz w:val="28"/>
          <w:szCs w:val="28"/>
        </w:rPr>
        <w:t>три</w:t>
      </w:r>
      <w:r w:rsidRPr="00BB1FEE">
        <w:rPr>
          <w:sz w:val="28"/>
          <w:szCs w:val="28"/>
        </w:rPr>
        <w:t xml:space="preserve">) </w:t>
      </w:r>
      <w:r w:rsidRPr="000049ED">
        <w:rPr>
          <w:sz w:val="28"/>
          <w:szCs w:val="28"/>
        </w:rPr>
        <w:t>подписи (</w:t>
      </w:r>
      <w:r w:rsidR="00903404" w:rsidRPr="000049ED">
        <w:rPr>
          <w:sz w:val="28"/>
          <w:szCs w:val="28"/>
        </w:rPr>
        <w:t xml:space="preserve">в подписной лист </w:t>
      </w:r>
      <w:r w:rsidRPr="000049ED">
        <w:rPr>
          <w:sz w:val="28"/>
          <w:szCs w:val="28"/>
        </w:rPr>
        <w:t xml:space="preserve">не внесены сведения, предусмотренные </w:t>
      </w:r>
      <w:hyperlink r:id="rId9" w:history="1">
        <w:r w:rsidRPr="00D44071">
          <w:rPr>
            <w:sz w:val="28"/>
            <w:szCs w:val="28"/>
          </w:rPr>
          <w:t>пунктом 9</w:t>
        </w:r>
      </w:hyperlink>
      <w:hyperlink r:id="rId10" w:history="1">
        <w:r w:rsidRPr="00D44071">
          <w:rPr>
            <w:sz w:val="28"/>
            <w:szCs w:val="28"/>
          </w:rPr>
          <w:t xml:space="preserve"> статьи 37</w:t>
        </w:r>
      </w:hyperlink>
      <w:r w:rsidRPr="00BB1FEE">
        <w:rPr>
          <w:sz w:val="28"/>
          <w:szCs w:val="28"/>
        </w:rPr>
        <w:t xml:space="preserve"> Федерального закона, </w:t>
      </w:r>
      <w:r w:rsidR="005F45DA" w:rsidRPr="005F45DA">
        <w:rPr>
          <w:sz w:val="28"/>
          <w:szCs w:val="28"/>
        </w:rPr>
        <w:t>все подписи избирателей в подписном листе в случае, если в сведениях о лице, осуществлявшем сбор подписей избирателей, и (или) в дате внесения подписи указанным лицом, кандидатом</w:t>
      </w:r>
      <w:proofErr w:type="gramEnd"/>
      <w:r w:rsidR="005F45DA" w:rsidRPr="005F45DA">
        <w:rPr>
          <w:sz w:val="28"/>
          <w:szCs w:val="28"/>
        </w:rPr>
        <w:t xml:space="preserve">, уполномоченным представителем </w:t>
      </w:r>
      <w:proofErr w:type="gramStart"/>
      <w:r w:rsidR="005F45DA" w:rsidRPr="005F45DA">
        <w:rPr>
          <w:sz w:val="28"/>
          <w:szCs w:val="28"/>
        </w:rPr>
        <w:t>избирательного объединения, выдвинувшего список кандидатов имеются</w:t>
      </w:r>
      <w:proofErr w:type="gramEnd"/>
      <w:r w:rsidR="005F45DA" w:rsidRPr="005F45DA">
        <w:rPr>
          <w:sz w:val="28"/>
          <w:szCs w:val="28"/>
        </w:rPr>
        <w:t xml:space="preserve"> исправления, специально не оговоренные соответственно лицом, осуществлявшим сбор подписей избирателей</w:t>
      </w:r>
      <w:r w:rsidR="005F45DA">
        <w:rPr>
          <w:sz w:val="28"/>
          <w:szCs w:val="28"/>
        </w:rPr>
        <w:t>), итого 23</w:t>
      </w:r>
      <w:r w:rsidRPr="00BB1FEE">
        <w:rPr>
          <w:sz w:val="28"/>
          <w:szCs w:val="28"/>
        </w:rPr>
        <w:t xml:space="preserve"> (двадцать </w:t>
      </w:r>
      <w:r w:rsidR="005F45DA">
        <w:rPr>
          <w:sz w:val="28"/>
          <w:szCs w:val="28"/>
        </w:rPr>
        <w:t>три</w:t>
      </w:r>
      <w:r w:rsidRPr="00BB1FEE">
        <w:rPr>
          <w:sz w:val="28"/>
          <w:szCs w:val="28"/>
        </w:rPr>
        <w:t>) недействительных подписи. Достоверных подписей – 0.</w:t>
      </w:r>
    </w:p>
    <w:p w:rsidR="00FD0852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5F45DA">
        <w:rPr>
          <w:sz w:val="28"/>
          <w:szCs w:val="28"/>
        </w:rPr>
        <w:t>5 необходимо представить 19</w:t>
      </w:r>
      <w:r w:rsidRPr="00BB1FEE">
        <w:rPr>
          <w:sz w:val="28"/>
          <w:szCs w:val="28"/>
        </w:rPr>
        <w:t xml:space="preserve"> достоверных подписей избирателей, следовательно, количество достоверных подписей, собранных в поддержку выдвижения кандидата </w:t>
      </w:r>
      <w:proofErr w:type="spellStart"/>
      <w:r w:rsidR="005F45DA">
        <w:rPr>
          <w:sz w:val="28"/>
          <w:szCs w:val="28"/>
        </w:rPr>
        <w:t>Искоркиной</w:t>
      </w:r>
      <w:proofErr w:type="spellEnd"/>
      <w:r w:rsidR="005F45DA">
        <w:rPr>
          <w:sz w:val="28"/>
          <w:szCs w:val="28"/>
        </w:rPr>
        <w:t xml:space="preserve"> Надежды </w:t>
      </w:r>
      <w:r w:rsidR="00D44071">
        <w:rPr>
          <w:sz w:val="28"/>
          <w:szCs w:val="28"/>
        </w:rPr>
        <w:t>Сергеевны</w:t>
      </w:r>
      <w:r w:rsidRPr="00BB1FEE">
        <w:rPr>
          <w:sz w:val="28"/>
          <w:szCs w:val="28"/>
        </w:rPr>
        <w:t>, является недостаточным для регистрации кандидата</w:t>
      </w:r>
      <w:r w:rsidR="00F55334">
        <w:rPr>
          <w:sz w:val="28"/>
          <w:szCs w:val="28"/>
        </w:rPr>
        <w:t xml:space="preserve">. </w:t>
      </w:r>
      <w:proofErr w:type="gramEnd"/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В соответствие с п. 2 статьи 35 Федерального закона </w:t>
      </w:r>
      <w:r w:rsidR="00BD2B11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 выдвижение кандидатов, списков кандидатов политическими партиями осуществляется в соответствии с Федеральным законом «О политических партиях». 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тайным голосованием, а также с соблюдением иных требований, </w:t>
      </w:r>
      <w:r w:rsidRPr="00BB1FEE">
        <w:rPr>
          <w:sz w:val="28"/>
          <w:szCs w:val="28"/>
        </w:rPr>
        <w:lastRenderedPageBreak/>
        <w:t>предъявляемых федеральным законом к выдвижению кандидатов для политических партий.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Согласно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>. «б» пункту 1 статьи 27 Федеральн</w:t>
      </w:r>
      <w:r>
        <w:rPr>
          <w:sz w:val="28"/>
          <w:szCs w:val="28"/>
        </w:rPr>
        <w:t>ого</w:t>
      </w:r>
      <w:r w:rsidRPr="00BB1F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1FEE">
        <w:rPr>
          <w:sz w:val="28"/>
          <w:szCs w:val="28"/>
        </w:rPr>
        <w:t xml:space="preserve"> от 11 июля 2001 года № 95-ФЗ «О политических партиях»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политическая партия, ее региональные отделения и иные структурные подразделения обязаны: извещать соответствующий уполномоченный орган о проведении открытых мероприятий (в том числе съездов, конференций или общих собраний по принятию устава и программы политической партии, внесению в них изменений и дополнений, избранию руководящих и</w:t>
      </w:r>
      <w:proofErr w:type="gramEnd"/>
      <w:r w:rsidRPr="00BB1FEE">
        <w:rPr>
          <w:sz w:val="28"/>
          <w:szCs w:val="28"/>
        </w:rPr>
        <w:t xml:space="preserve"> контрольно-ревизионных органов политической партии и ее региональных отделений, выдвижению кандидатов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реорганизации и ликвидации политической партии и ее региональных отделений)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один день до дня проведения мероприятия при его проведении в пределах населенного пункта, в котором расположен уполномоченный орган, и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мероприятия, проводимые политической партией, ее региональными отделениями и иными структурными подразделениями.</w:t>
      </w:r>
    </w:p>
    <w:p w:rsidR="00BB1FEE" w:rsidRPr="00BB1FEE" w:rsidRDefault="005F45DA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Искоркина</w:t>
      </w:r>
      <w:proofErr w:type="spellEnd"/>
      <w:r>
        <w:rPr>
          <w:sz w:val="28"/>
          <w:szCs w:val="28"/>
        </w:rPr>
        <w:t xml:space="preserve"> Надежда </w:t>
      </w:r>
      <w:r w:rsidR="00D44071">
        <w:rPr>
          <w:sz w:val="28"/>
          <w:szCs w:val="28"/>
        </w:rPr>
        <w:t>Сергеевна</w:t>
      </w:r>
      <w:r w:rsidR="00D44071" w:rsidRPr="00BB1FEE">
        <w:rPr>
          <w:sz w:val="28"/>
          <w:szCs w:val="28"/>
        </w:rPr>
        <w:t xml:space="preserve"> </w:t>
      </w:r>
      <w:r w:rsidR="00BB1FEE" w:rsidRPr="00BB1FEE">
        <w:rPr>
          <w:sz w:val="28"/>
          <w:szCs w:val="28"/>
        </w:rPr>
        <w:t>был</w:t>
      </w:r>
      <w:r w:rsidR="00D44071">
        <w:rPr>
          <w:sz w:val="28"/>
          <w:szCs w:val="28"/>
        </w:rPr>
        <w:t>а</w:t>
      </w:r>
      <w:r w:rsidR="00BB1FEE" w:rsidRPr="00BB1FEE">
        <w:rPr>
          <w:sz w:val="28"/>
          <w:szCs w:val="28"/>
        </w:rPr>
        <w:t xml:space="preserve"> выдвинут кандидатом в депутаты Думы Находкинского городского округа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Общее собрание указанной общественной организации состоялось 01 июля 2022 года. </w:t>
      </w:r>
      <w:proofErr w:type="gramStart"/>
      <w:r w:rsidRPr="00BB1FEE">
        <w:rPr>
          <w:sz w:val="28"/>
          <w:szCs w:val="28"/>
        </w:rPr>
        <w:t>Согласно представленной Главным управлением Министерства юстиции Российской Федерации по Приморскому краю информации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Приморская региональная общественная организация по благоустройству территорий городов и социальной поддержки населения «Я </w:t>
      </w:r>
      <w:r w:rsidRPr="00BB1FEE">
        <w:rPr>
          <w:sz w:val="28"/>
          <w:szCs w:val="28"/>
        </w:rPr>
        <w:lastRenderedPageBreak/>
        <w:t>делаю город лучше!» уведомила Главное управление Минюста России по Приморскому краю 28 июня 2022 года</w:t>
      </w:r>
      <w:r>
        <w:rPr>
          <w:sz w:val="28"/>
          <w:szCs w:val="28"/>
        </w:rPr>
        <w:t>, т</w:t>
      </w:r>
      <w:r w:rsidRPr="00BB1FEE">
        <w:rPr>
          <w:sz w:val="28"/>
          <w:szCs w:val="28"/>
        </w:rPr>
        <w:t xml:space="preserve">о есть за 2 дня до дня проведения мероприятия, что является </w:t>
      </w:r>
      <w:r w:rsidRPr="00BB1FEE">
        <w:rPr>
          <w:bCs/>
          <w:sz w:val="28"/>
          <w:szCs w:val="28"/>
        </w:rPr>
        <w:t>несоблюдением требований к выдвижению кандидата, предусмотренных Федеральным законом «О</w:t>
      </w:r>
      <w:proofErr w:type="gramEnd"/>
      <w:r w:rsidRPr="00BB1FEE">
        <w:rPr>
          <w:bCs/>
          <w:sz w:val="28"/>
          <w:szCs w:val="28"/>
        </w:rPr>
        <w:t xml:space="preserve"> политических партиях»; для кандидатов, выдвинутых иными общественными объединениями</w:t>
      </w:r>
      <w:r>
        <w:rPr>
          <w:bCs/>
          <w:sz w:val="28"/>
          <w:szCs w:val="28"/>
        </w:rPr>
        <w:t>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Согласно Уставу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выдвижение кандидатов в депутаты на муниципальных выборах относится к исключительной компетенции Общего собрания. </w:t>
      </w:r>
      <w:proofErr w:type="gramStart"/>
      <w:r w:rsidRPr="00BB1FEE">
        <w:rPr>
          <w:sz w:val="28"/>
          <w:szCs w:val="28"/>
        </w:rPr>
        <w:t>В соответствии с п. 4.5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 решения по вопросам, отнесенным к исключительной компетенции Общего собрания принимаются квалифицированным большинством голосов (75%) от числа голосов, которыми обладают присутствующие на Общем собрании члены Приморской региональной общественной организацией по благоустройству территорий городов и социальной поддержки населения «Я делаю</w:t>
      </w:r>
      <w:proofErr w:type="gramEnd"/>
      <w:r w:rsidRPr="00BB1FEE">
        <w:rPr>
          <w:sz w:val="28"/>
          <w:szCs w:val="28"/>
        </w:rPr>
        <w:t xml:space="preserve">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Согласно представленной кандидатом </w:t>
      </w:r>
      <w:proofErr w:type="spellStart"/>
      <w:r w:rsidR="005F45DA">
        <w:rPr>
          <w:sz w:val="28"/>
          <w:szCs w:val="28"/>
        </w:rPr>
        <w:t>Искоркиной</w:t>
      </w:r>
      <w:proofErr w:type="spellEnd"/>
      <w:r w:rsidR="005F45DA">
        <w:rPr>
          <w:sz w:val="28"/>
          <w:szCs w:val="28"/>
        </w:rPr>
        <w:t xml:space="preserve"> Надеждой </w:t>
      </w:r>
      <w:r w:rsidR="00D44071">
        <w:rPr>
          <w:sz w:val="28"/>
          <w:szCs w:val="28"/>
        </w:rPr>
        <w:t>Сергеевной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выписки из протокола № 3 общего собрания Приморской региональной общественной организацией по благоустройству территорий городов и социальной поддержки населения «Я делаю город лучше!» от 01.07.2022 года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«число зарегистрированных делегатов (участников) – 23», число делегато</w:t>
      </w:r>
      <w:r w:rsidR="00903404">
        <w:rPr>
          <w:sz w:val="28"/>
          <w:szCs w:val="28"/>
        </w:rPr>
        <w:t>в (участников), необходимое для</w:t>
      </w:r>
      <w:r w:rsidRPr="00BB1FEE">
        <w:rPr>
          <w:sz w:val="28"/>
          <w:szCs w:val="28"/>
        </w:rPr>
        <w:t xml:space="preserve"> принятия решения о выдвижении списка кандидатов</w:t>
      </w:r>
      <w:r>
        <w:rPr>
          <w:sz w:val="28"/>
          <w:szCs w:val="28"/>
        </w:rPr>
        <w:t xml:space="preserve"> в соответствии с уставом – 13», ч</w:t>
      </w:r>
      <w:r w:rsidRPr="00BB1FEE">
        <w:rPr>
          <w:sz w:val="28"/>
          <w:szCs w:val="28"/>
        </w:rPr>
        <w:t>то не соответствует норме (75%) Устава Приморской региональной</w:t>
      </w:r>
      <w:proofErr w:type="gramEnd"/>
      <w:r w:rsidRPr="00BB1FEE">
        <w:rPr>
          <w:sz w:val="28"/>
          <w:szCs w:val="28"/>
        </w:rPr>
        <w:t xml:space="preserve"> общественной организацией по благоустройству территорий городов и социальной поддержки населения «Я делаю город лучше!».</w:t>
      </w:r>
    </w:p>
    <w:p w:rsidR="00C43FD2" w:rsidRPr="00B71C95" w:rsidRDefault="008B6AD0" w:rsidP="00C43FD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BB1FEE">
        <w:rPr>
          <w:sz w:val="28"/>
          <w:szCs w:val="28"/>
        </w:rPr>
        <w:lastRenderedPageBreak/>
        <w:t xml:space="preserve">На основании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 xml:space="preserve">. «д» пункта 24 статьи 38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Pr="00BB1FEE">
        <w:rPr>
          <w:sz w:val="28"/>
          <w:szCs w:val="28"/>
        </w:rPr>
        <w:t>22 июля 2003 года № 62-КЗ (недостаточное количество достоверных подписей избирателей, представленных для</w:t>
      </w:r>
      <w:proofErr w:type="gramEnd"/>
      <w:r w:rsidRPr="00BB1FEE">
        <w:rPr>
          <w:sz w:val="28"/>
          <w:szCs w:val="28"/>
        </w:rPr>
        <w:t xml:space="preserve"> </w:t>
      </w:r>
      <w:proofErr w:type="gramStart"/>
      <w:r w:rsidRPr="00BB1FEE">
        <w:rPr>
          <w:sz w:val="28"/>
          <w:szCs w:val="28"/>
        </w:rPr>
        <w:t xml:space="preserve">регистрации кандидата), </w:t>
      </w:r>
      <w:proofErr w:type="spellStart"/>
      <w:r w:rsidR="00C43FD2" w:rsidRPr="006B4F35">
        <w:rPr>
          <w:sz w:val="28"/>
          <w:szCs w:val="28"/>
        </w:rPr>
        <w:t>пп</w:t>
      </w:r>
      <w:proofErr w:type="spellEnd"/>
      <w:r w:rsidR="00C43FD2" w:rsidRPr="006B4F35">
        <w:rPr>
          <w:sz w:val="28"/>
          <w:szCs w:val="28"/>
        </w:rPr>
        <w:t>. «б» пункта 24 статьи 38 Федерального закона 12.06.2002 года № 67-ФЗ «Об основных гарантиях избирательных прав и права на участие в референдуме граждан Российской Федерации» (</w:t>
      </w:r>
      <w:r w:rsidR="00C43FD2" w:rsidRPr="006B4F35">
        <w:rPr>
          <w:bCs/>
          <w:sz w:val="28"/>
          <w:szCs w:val="28"/>
        </w:rPr>
        <w:t xml:space="preserve">для кандидатов, выдвинутых иными общественными объединениями, - </w:t>
      </w:r>
      <w:r w:rsidR="00C43FD2" w:rsidRPr="006B4F35">
        <w:rPr>
          <w:sz w:val="28"/>
          <w:szCs w:val="28"/>
        </w:rPr>
        <w:t xml:space="preserve">несоблюдение требований </w:t>
      </w:r>
      <w:hyperlink r:id="rId11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настоящего Федерального закона), п. 4 части 7 статьи 49 Избирательного кодекса Приморского края (для кандидатов, выдвинутых иными общественными объединениями, - несоблюдение требований</w:t>
      </w:r>
      <w:proofErr w:type="gramEnd"/>
      <w:r w:rsidR="00C43FD2" w:rsidRPr="006B4F35">
        <w:rPr>
          <w:sz w:val="28"/>
          <w:szCs w:val="28"/>
        </w:rPr>
        <w:t xml:space="preserve"> </w:t>
      </w:r>
      <w:hyperlink r:id="rId12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Федерального закона, </w:t>
      </w:r>
      <w:hyperlink r:id="rId13" w:history="1">
        <w:r w:rsidR="00C43FD2" w:rsidRPr="006B4F35">
          <w:rPr>
            <w:sz w:val="28"/>
            <w:szCs w:val="28"/>
          </w:rPr>
          <w:t>части 4 статьи 42</w:t>
        </w:r>
      </w:hyperlink>
      <w:r w:rsidR="00C43FD2" w:rsidRPr="006B4F35">
        <w:rPr>
          <w:sz w:val="28"/>
          <w:szCs w:val="28"/>
        </w:rPr>
        <w:t xml:space="preserve"> Избирательного кодекса Приморского края</w:t>
      </w:r>
      <w:r w:rsidR="00C43FD2" w:rsidRPr="006B4F35">
        <w:rPr>
          <w:sz w:val="26"/>
          <w:szCs w:val="26"/>
        </w:rPr>
        <w:t>)</w:t>
      </w:r>
      <w:r w:rsidR="00C43FD2" w:rsidRPr="00B71C95">
        <w:rPr>
          <w:sz w:val="28"/>
          <w:szCs w:val="28"/>
        </w:rPr>
        <w:t xml:space="preserve"> территориальная избирательная комиссия города Находки</w:t>
      </w:r>
      <w:r w:rsidR="00C43FD2" w:rsidRPr="00B71C95">
        <w:rPr>
          <w:b/>
          <w:sz w:val="28"/>
          <w:szCs w:val="28"/>
        </w:rPr>
        <w:t xml:space="preserve"> </w:t>
      </w:r>
    </w:p>
    <w:p w:rsidR="008B6AD0" w:rsidRPr="00BB1FEE" w:rsidRDefault="008B6AD0" w:rsidP="00903404">
      <w:pPr>
        <w:autoSpaceDE w:val="0"/>
        <w:autoSpaceDN w:val="0"/>
        <w:adjustRightInd w:val="0"/>
        <w:spacing w:before="100" w:beforeAutospacing="1"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РЕШИЛА: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8B6AD0" w:rsidRPr="00BB1FEE">
        <w:rPr>
          <w:sz w:val="28"/>
          <w:szCs w:val="28"/>
        </w:rPr>
        <w:t xml:space="preserve">Отказать в регистрации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5F45DA">
        <w:rPr>
          <w:sz w:val="28"/>
          <w:szCs w:val="28"/>
        </w:rPr>
        <w:t>атному</w:t>
      </w:r>
      <w:proofErr w:type="spellEnd"/>
      <w:r w:rsidR="005F45DA">
        <w:rPr>
          <w:sz w:val="28"/>
          <w:szCs w:val="28"/>
        </w:rPr>
        <w:t xml:space="preserve"> избирательному округу № 5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5F45DA">
        <w:rPr>
          <w:sz w:val="28"/>
          <w:szCs w:val="28"/>
        </w:rPr>
        <w:t>Искоркиной</w:t>
      </w:r>
      <w:proofErr w:type="spellEnd"/>
      <w:r w:rsidR="005F45DA">
        <w:rPr>
          <w:sz w:val="28"/>
          <w:szCs w:val="28"/>
        </w:rPr>
        <w:t xml:space="preserve"> Надежды</w:t>
      </w:r>
      <w:r w:rsidR="00D44071">
        <w:rPr>
          <w:sz w:val="28"/>
          <w:szCs w:val="28"/>
        </w:rPr>
        <w:t xml:space="preserve"> Сергеевны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5F45DA">
        <w:rPr>
          <w:sz w:val="28"/>
          <w:szCs w:val="28"/>
        </w:rPr>
        <w:t>Искоркиной</w:t>
      </w:r>
      <w:proofErr w:type="spellEnd"/>
      <w:r w:rsidR="005F45DA">
        <w:rPr>
          <w:sz w:val="28"/>
          <w:szCs w:val="28"/>
        </w:rPr>
        <w:t xml:space="preserve"> Надежде </w:t>
      </w:r>
      <w:r w:rsidR="00D44071">
        <w:rPr>
          <w:sz w:val="28"/>
          <w:szCs w:val="28"/>
        </w:rPr>
        <w:t>Сергеевне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proofErr w:type="spellStart"/>
      <w:r w:rsidR="005F45DA">
        <w:rPr>
          <w:sz w:val="28"/>
          <w:szCs w:val="28"/>
        </w:rPr>
        <w:t>Искоркину</w:t>
      </w:r>
      <w:proofErr w:type="spellEnd"/>
      <w:r w:rsidR="005F45DA">
        <w:rPr>
          <w:sz w:val="28"/>
          <w:szCs w:val="28"/>
        </w:rPr>
        <w:t xml:space="preserve"> Надежду </w:t>
      </w:r>
      <w:r w:rsidR="00D44071">
        <w:rPr>
          <w:sz w:val="28"/>
          <w:szCs w:val="28"/>
        </w:rPr>
        <w:t>Сергеевну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0E" w:rsidRDefault="00412C0E" w:rsidP="00F25E48">
      <w:r>
        <w:separator/>
      </w:r>
    </w:p>
  </w:endnote>
  <w:endnote w:type="continuationSeparator" w:id="0">
    <w:p w:rsidR="00412C0E" w:rsidRDefault="00412C0E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A74223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0E" w:rsidRDefault="00412C0E" w:rsidP="00F25E48">
      <w:r>
        <w:separator/>
      </w:r>
    </w:p>
  </w:footnote>
  <w:footnote w:type="continuationSeparator" w:id="0">
    <w:p w:rsidR="00412C0E" w:rsidRDefault="00412C0E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49E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063C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6234E"/>
    <w:rsid w:val="00170403"/>
    <w:rsid w:val="001913D1"/>
    <w:rsid w:val="0019377A"/>
    <w:rsid w:val="001B184F"/>
    <w:rsid w:val="001C2E05"/>
    <w:rsid w:val="001D15CE"/>
    <w:rsid w:val="001D7085"/>
    <w:rsid w:val="001F2935"/>
    <w:rsid w:val="001F57A7"/>
    <w:rsid w:val="001F57DA"/>
    <w:rsid w:val="00212DFC"/>
    <w:rsid w:val="00215CF1"/>
    <w:rsid w:val="002273AA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55FB"/>
    <w:rsid w:val="002E7324"/>
    <w:rsid w:val="002F37C5"/>
    <w:rsid w:val="002F723D"/>
    <w:rsid w:val="00301EA7"/>
    <w:rsid w:val="00303320"/>
    <w:rsid w:val="00317EAC"/>
    <w:rsid w:val="003320B6"/>
    <w:rsid w:val="003378A5"/>
    <w:rsid w:val="00340245"/>
    <w:rsid w:val="003417F7"/>
    <w:rsid w:val="003429A3"/>
    <w:rsid w:val="003503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22D3"/>
    <w:rsid w:val="003E1A19"/>
    <w:rsid w:val="003E2CDB"/>
    <w:rsid w:val="003F0B8D"/>
    <w:rsid w:val="00412C0E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E5618"/>
    <w:rsid w:val="005F4256"/>
    <w:rsid w:val="005F45DA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2F2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53CE6"/>
    <w:rsid w:val="007616ED"/>
    <w:rsid w:val="007653EE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8E7BA4"/>
    <w:rsid w:val="00903404"/>
    <w:rsid w:val="00903D15"/>
    <w:rsid w:val="00905DB4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4223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F1E87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616E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4071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156C5"/>
    <w:rsid w:val="00E37A69"/>
    <w:rsid w:val="00E4481A"/>
    <w:rsid w:val="00E64FF2"/>
    <w:rsid w:val="00E72742"/>
    <w:rsid w:val="00E85D6F"/>
    <w:rsid w:val="00E937A8"/>
    <w:rsid w:val="00E96A33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1FDF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3C63EC95F6C53D1A131B8304EB75C99B39E34A1CA1D3869B5F98C840AAB3DF0DB095438A1BA8F6EE5E375EC1A7B3E27BC92726779467B9E4E6FBFEM0U4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3C63EC95F6C53D1A13058E12872BC69F30BD421DA2D9D7CE0E9E9F1FFAB58A4DF09316C95DA7F1EC53620A8DF9EAB23D822A206B8867BCMFU8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F132E5631BC934C54890A7A533EDB6FF8937B621E6175651C79611808E3B10A5D459AE28D6641F93E516410789CCA59FE45007F0E8AADBMDTE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1D4FF6EEE4E3E6CD94F0B41E187C70B27BDDEE737DFECAA719FAF38660295699860FF32464765E61AE2D75F25EF2B5A2B1DCB8E54FC266FI547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7BDDEE737DFECAA719FAF38660295699860FF32464765E61BE2D75F25EF2B5A2B1DCB8E54FC266FI547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6</cp:revision>
  <cp:lastPrinted>2022-07-14T04:15:00Z</cp:lastPrinted>
  <dcterms:created xsi:type="dcterms:W3CDTF">2022-07-14T04:17:00Z</dcterms:created>
  <dcterms:modified xsi:type="dcterms:W3CDTF">2022-07-14T23:52:00Z</dcterms:modified>
</cp:coreProperties>
</file>