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1214C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» октября 202</w:t>
      </w:r>
      <w:r w:rsidR="001214C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1214C8">
        <w:rPr>
          <w:rFonts w:ascii="Times New Roman" w:hAnsi="Times New Roman" w:cs="Times New Roman"/>
          <w:sz w:val="26"/>
          <w:szCs w:val="26"/>
        </w:rPr>
        <w:t>893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1214C8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A51405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</w:tcPr>
          <w:p w:rsidR="009223E1" w:rsidRPr="00A51405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хозяйством»;</w:t>
            </w:r>
          </w:p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содержания и озеленения  общественных территорий и объектов внешнего благоустройства Находкинского городского округа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403"/>
        </w:trPr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 Находкинского городского округа, обеспеченных текущим содержанием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доля общественных территорий и мест общего пользования Находкинского городского округа, обеспеченных озеленением; </w:t>
            </w:r>
          </w:p>
          <w:p w:rsidR="009223E1" w:rsidRPr="00A51405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руб., в том числе: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Находкинского городского округа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122 600,0 тыс. руб.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</w:t>
            </w:r>
          </w:p>
          <w:p w:rsidR="005F34BC" w:rsidRPr="00A51405" w:rsidRDefault="005F34BC" w:rsidP="005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- 2025 год – 1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5F34BC" w:rsidRPr="00A51405" w:rsidRDefault="005F34BC" w:rsidP="00F2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- 2026 год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144 7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т.ч. по годам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мероприятий муниципальной программы составляет–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284 087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тыс.руб., в том числе: бюджет Находкинского городского округа –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78 095,54 тыс.руб.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Pr="00A51405">
              <w:rPr>
                <w:rFonts w:ascii="Times New Roman" w:hAnsi="Times New Roman"/>
                <w:sz w:val="26"/>
                <w:szCs w:val="26"/>
              </w:rPr>
              <w:t xml:space="preserve">74 490,28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45 605,34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51 524,21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тыс.руб.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тыс.руб.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5F34BC" w:rsidRPr="00A51405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тыс.руб.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0,00 тыс.руб.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  <w:p w:rsidR="005F34BC" w:rsidRPr="00A51405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5F34BC" w:rsidRPr="00A51405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9223E1" w:rsidRPr="00A51405" w:rsidRDefault="009223E1" w:rsidP="00AA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замененных элементов благоустройства составит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126 ед. в 2021 году до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AA4F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A51405" w:rsidRDefault="00A51405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1405" w:rsidRDefault="00A51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>на 2021-202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F14DB8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722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 w:rsidRP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Также, благодаря выполнению мероприятий программ «Формирование современной городской среды Находкинского городского округа»  2018-2024 годы» и «</w:t>
      </w:r>
      <w:r w:rsidR="007222CE" w:rsidRP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туризма в Находкинском городском округе</w:t>
      </w:r>
      <w:r w:rsid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2018-2020 годы и на период до 2025 года» в Находке появляются новые общественные территории, которые пополнят существующий перечень.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вандальных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Памятнике Победы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 xml:space="preserve">В случае недостаточного финансирования мероприятий Программы, предусматривается возможность внесения изменений в Программу с корректировкой  ее </w:t>
      </w:r>
      <w:r w:rsidR="0092107E" w:rsidRPr="00A4718A">
        <w:rPr>
          <w:rFonts w:ascii="Times New Roman" w:hAnsi="Times New Roman" w:cs="Times New Roman"/>
          <w:sz w:val="26"/>
          <w:szCs w:val="26"/>
        </w:rPr>
        <w:lastRenderedPageBreak/>
        <w:t>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697C5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3</w:t>
      </w:r>
      <w:r w:rsidR="00B443D8" w:rsidRPr="00697C5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 w:rsidRPr="00697C5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 w:rsidRPr="00697C5A">
        <w:rPr>
          <w:rFonts w:ascii="Times New Roman" w:hAnsi="Times New Roman" w:cs="Times New Roman"/>
          <w:sz w:val="26"/>
          <w:szCs w:val="26"/>
        </w:rPr>
        <w:t>21</w:t>
      </w:r>
      <w:r w:rsidRPr="00697C5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697C5A">
        <w:rPr>
          <w:rFonts w:ascii="Times New Roman" w:hAnsi="Times New Roman" w:cs="Times New Roman"/>
          <w:sz w:val="26"/>
          <w:szCs w:val="26"/>
        </w:rPr>
        <w:t>2</w:t>
      </w:r>
      <w:r w:rsidR="00B540C1" w:rsidRPr="00697C5A">
        <w:rPr>
          <w:rFonts w:ascii="Times New Roman" w:hAnsi="Times New Roman" w:cs="Times New Roman"/>
          <w:sz w:val="26"/>
          <w:szCs w:val="26"/>
        </w:rPr>
        <w:t>6</w:t>
      </w:r>
      <w:r w:rsidRPr="00697C5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697C5A">
        <w:rPr>
          <w:rFonts w:ascii="Times New Roman" w:hAnsi="Times New Roman" w:cs="Times New Roman"/>
          <w:sz w:val="26"/>
          <w:szCs w:val="26"/>
        </w:rPr>
        <w:t>ов</w:t>
      </w:r>
      <w:r w:rsidRPr="00697C5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F20FEE" w:rsidRDefault="00F20FE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1214C8">
        <w:rPr>
          <w:rFonts w:ascii="Times New Roman" w:hAnsi="Times New Roman" w:cs="Times New Roman"/>
          <w:sz w:val="26"/>
          <w:szCs w:val="26"/>
        </w:rPr>
        <w:t>п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 </w:t>
      </w:r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леерных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уходные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уходные работы (прополка, рыхление, полив, уборка отцветших растений);  уходные работы (прополка, рыхление, формовочная обрезка) за декоративным кустарником, высаженным на территориях общего пользования;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леерного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муниципальной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Iцiфакт - фактическое значение i-го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Iцiплан - плановое значение i-го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При использовании данной формулы в случаях, если Iцi больше 1, значение Iцi принимается равным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I</w:t>
      </w:r>
      <w:r w:rsidR="00B443D8" w:rsidRPr="00A4718A">
        <w:rPr>
          <w:rFonts w:ascii="Times New Roman" w:hAnsi="Times New Roman" w:cs="Times New Roman"/>
          <w:sz w:val="26"/>
          <w:szCs w:val="26"/>
        </w:rPr>
        <w:t>цi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=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9852CB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= Мв / М,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Мр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Мв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от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F20FEE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DA3F5C" w:rsidRDefault="00DA3F5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A4718A" w:rsidRDefault="009A346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214C8" w:rsidRDefault="001214C8" w:rsidP="001214C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14C8" w:rsidRDefault="001214C8" w:rsidP="001214C8">
      <w:pPr>
        <w:autoSpaceDE w:val="0"/>
        <w:autoSpaceDN w:val="0"/>
        <w:adjustRightInd w:val="0"/>
        <w:spacing w:after="0" w:line="36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214C8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556E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№18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территорий Находкинского городского округа на  2021-202</w:t>
      </w:r>
      <w:r w:rsidR="00556E33"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4795"/>
        <w:gridCol w:w="1134"/>
        <w:gridCol w:w="991"/>
        <w:gridCol w:w="994"/>
        <w:gridCol w:w="991"/>
        <w:gridCol w:w="994"/>
        <w:gridCol w:w="991"/>
        <w:gridCol w:w="991"/>
        <w:gridCol w:w="890"/>
        <w:gridCol w:w="1662"/>
      </w:tblGrid>
      <w:tr w:rsidR="007F3835" w:rsidRPr="007F3835" w:rsidTr="00556E33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56E33" w:rsidRPr="007F3835" w:rsidTr="00556E33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B75693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62168A" w:rsidRDefault="00556E33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8072B1" w:rsidRDefault="00461CD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8072B1" w:rsidRDefault="00556E33" w:rsidP="00461CD3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61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A3F5C" w:rsidRDefault="00461CD3" w:rsidP="00AA4F2C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A4F2C"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A3F5C" w:rsidRDefault="00461CD3" w:rsidP="009223E1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A3F5C" w:rsidRDefault="00461CD3" w:rsidP="00AA4F2C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AA4F2C"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275D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2682"/>
        <w:gridCol w:w="1145"/>
        <w:gridCol w:w="1180"/>
        <w:gridCol w:w="1088"/>
        <w:gridCol w:w="1134"/>
        <w:gridCol w:w="1134"/>
        <w:gridCol w:w="1145"/>
      </w:tblGrid>
      <w:tr w:rsidR="007012C9" w:rsidRPr="007F3835" w:rsidTr="00FD7BAD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D7BAD" w:rsidRPr="007F3835" w:rsidTr="00FD7BAD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D7BAD" w:rsidRPr="007F3835" w:rsidTr="00FD7B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6313C7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6313C7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A51405">
              <w:rPr>
                <w:rFonts w:ascii="Times New Roman" w:hAnsi="Times New Roman"/>
              </w:rPr>
              <w:t>9</w:t>
            </w:r>
          </w:p>
        </w:tc>
      </w:tr>
      <w:tr w:rsidR="00FD7BAD" w:rsidRPr="007F3835" w:rsidTr="00FD7B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117 500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313C7">
              <w:rPr>
                <w:rFonts w:ascii="Times New Roman" w:hAnsi="Times New Roman"/>
                <w:sz w:val="24"/>
                <w:szCs w:val="24"/>
              </w:rPr>
              <w:t>9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4A6347" w:rsidP="006313C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13</w:t>
            </w:r>
            <w:r w:rsidR="006313C7" w:rsidRPr="006313C7">
              <w:rPr>
                <w:rFonts w:ascii="Times New Roman" w:hAnsi="Times New Roman"/>
                <w:sz w:val="24"/>
                <w:szCs w:val="24"/>
              </w:rPr>
              <w:t>5</w:t>
            </w:r>
            <w:r w:rsidRPr="0063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 w:rsidRPr="006313C7">
              <w:rPr>
                <w:rFonts w:ascii="Times New Roman" w:hAnsi="Times New Roman"/>
                <w:sz w:val="24"/>
                <w:szCs w:val="24"/>
              </w:rPr>
              <w:t>1</w:t>
            </w:r>
            <w:r w:rsidRPr="0063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6313C7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144 7</w:t>
            </w:r>
            <w:r w:rsidR="00101372" w:rsidRPr="00A514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117 500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313C7">
              <w:rPr>
                <w:rFonts w:ascii="Times New Roman" w:hAnsi="Times New Roman"/>
                <w:sz w:val="24"/>
                <w:szCs w:val="24"/>
              </w:rPr>
              <w:t>9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6313C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13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4 7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101372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D7BAD" w:rsidRPr="007F3835" w:rsidTr="00FD7B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101372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D7BAD" w:rsidRPr="007F3835" w:rsidTr="00FD7B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BAD" w:rsidRPr="007F3835" w:rsidTr="00FD7B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1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1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C10F14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13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13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BAD" w:rsidRPr="00D645B4" w:rsidRDefault="00FD7BAD" w:rsidP="00922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FD7BAD" w:rsidRPr="007F3835" w:rsidTr="00FD7B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FD7BAD" w:rsidRPr="007F3835" w:rsidTr="00FD7B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D7BAD" w:rsidRPr="007F3835" w:rsidTr="00FD7BAD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FD7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FD7B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BAD" w:rsidRPr="007F3835" w:rsidTr="00FD7BAD">
        <w:trPr>
          <w:trHeight w:val="152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Merge w:val="restart"/>
          </w:tcPr>
          <w:p w:rsidR="00FD7BAD" w:rsidRPr="007F3835" w:rsidRDefault="00FD7BAD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D7BAD" w:rsidRPr="007F3835" w:rsidRDefault="00FD7BAD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D2E1E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FD7BAD" w:rsidRPr="007F3835" w:rsidTr="00FD7BAD">
        <w:trPr>
          <w:trHeight w:val="42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164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D7BAD" w:rsidRPr="007F3835" w:rsidRDefault="00FD7BAD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rPr>
          <w:trHeight w:val="178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8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58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1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Merge w:val="restart"/>
          </w:tcPr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FD7BAD" w:rsidRPr="004B0CCB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Pr="004B0CCB" w:rsidRDefault="00FD7BAD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rPr>
          <w:trHeight w:val="28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D2E1E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01372"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1"/>
        </w:trPr>
        <w:tc>
          <w:tcPr>
            <w:tcW w:w="708" w:type="dxa"/>
            <w:vMerge w:val="restart"/>
            <w:hideMark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Merge w:val="restart"/>
          </w:tcPr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FD7BAD" w:rsidRPr="004B0CCB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Pr="004B0CCB" w:rsidRDefault="00FD7BAD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FD7BAD" w:rsidRPr="007F3835" w:rsidTr="00FD7BAD">
        <w:trPr>
          <w:trHeight w:val="281"/>
        </w:trPr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36F" w:rsidRDefault="00D6236F"/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 на 2021-202</w:t>
      </w:r>
      <w:r w:rsidR="00275D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3F5C" w:rsidRDefault="00DA3F5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(тыс.руб.)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43"/>
        <w:gridCol w:w="850"/>
        <w:gridCol w:w="851"/>
        <w:gridCol w:w="1417"/>
        <w:gridCol w:w="709"/>
        <w:gridCol w:w="992"/>
        <w:gridCol w:w="1134"/>
        <w:gridCol w:w="851"/>
        <w:gridCol w:w="992"/>
        <w:gridCol w:w="992"/>
        <w:gridCol w:w="993"/>
      </w:tblGrid>
      <w:tr w:rsidR="00275D7E" w:rsidRPr="00983526" w:rsidTr="004A6347">
        <w:trPr>
          <w:trHeight w:val="253"/>
        </w:trPr>
        <w:tc>
          <w:tcPr>
            <w:tcW w:w="709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275D7E" w:rsidRPr="00275D7E" w:rsidRDefault="00275D7E" w:rsidP="00AD6170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Расходы (тыс.руб.), годы</w:t>
            </w:r>
          </w:p>
        </w:tc>
      </w:tr>
      <w:tr w:rsidR="00275D7E" w:rsidRPr="00983526" w:rsidTr="000057EB">
        <w:tc>
          <w:tcPr>
            <w:tcW w:w="709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РзПр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ЦСР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275D7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ED793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2025</w:t>
            </w:r>
          </w:p>
        </w:tc>
        <w:tc>
          <w:tcPr>
            <w:tcW w:w="993" w:type="dxa"/>
            <w:vAlign w:val="center"/>
          </w:tcPr>
          <w:p w:rsidR="00275D7E" w:rsidRPr="00275D7E" w:rsidRDefault="00275D7E" w:rsidP="00275D7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2026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3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75D7E" w:rsidRPr="00275D7E" w:rsidRDefault="00275D7E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75D7E" w:rsidRPr="00275D7E" w:rsidRDefault="00275D7E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:rsidR="00275D7E" w:rsidRPr="00275D7E" w:rsidRDefault="00275D7E" w:rsidP="00275D7E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Благоустройство территорий Находкинского городского округа» на  2021-2026 годы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78 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095,54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74490,28</w:t>
            </w:r>
          </w:p>
        </w:tc>
        <w:tc>
          <w:tcPr>
            <w:tcW w:w="851" w:type="dxa"/>
            <w:vAlign w:val="center"/>
          </w:tcPr>
          <w:p w:rsidR="00275D7E" w:rsidRPr="006313C7" w:rsidRDefault="00FC4791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34371,78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45605,34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51  524,21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  <w:vAlign w:val="center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37 369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,</w:t>
            </w: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35823,51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FC479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1765</w:t>
            </w:r>
            <w:r w:rsidR="00FC4791" w:rsidRPr="006313C7">
              <w:rPr>
                <w:rFonts w:ascii="Times New Roman" w:hAnsi="Times New Roman"/>
                <w:sz w:val="20"/>
                <w:szCs w:val="20"/>
              </w:rPr>
              <w:t>6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,</w:t>
            </w:r>
            <w:r w:rsidR="00FC4791" w:rsidRPr="006313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16205,34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22 124,21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409" w:type="dxa"/>
            <w:vAlign w:val="center"/>
          </w:tcPr>
          <w:p w:rsidR="00275D7E" w:rsidRPr="00275D7E" w:rsidRDefault="00275D7E" w:rsidP="009223E1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общественных территорий и мест общего пользования Находкинского городского округа  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2590143010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28 169,3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27852,0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4A4A7F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2590143100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6 362,5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14C8" w:rsidRPr="00983526" w:rsidTr="000057EB">
        <w:tc>
          <w:tcPr>
            <w:tcW w:w="709" w:type="dxa"/>
          </w:tcPr>
          <w:p w:rsidR="001214C8" w:rsidRDefault="001214C8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1214C8" w:rsidRPr="00275D7E" w:rsidRDefault="001214C8" w:rsidP="00121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4C8" w:rsidRPr="00275D7E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214C8" w:rsidRPr="00275D7E" w:rsidRDefault="001214C8" w:rsidP="004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214C8" w:rsidRPr="00275D7E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214C8" w:rsidRPr="006313C7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214C8" w:rsidRPr="00275D7E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214C8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1214C8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3100,79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2668,76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8072B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Default="00275D7E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4A4A7F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2493,52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2595,84</w:t>
            </w:r>
          </w:p>
        </w:tc>
        <w:tc>
          <w:tcPr>
            <w:tcW w:w="851" w:type="dxa"/>
            <w:vAlign w:val="center"/>
          </w:tcPr>
          <w:p w:rsidR="00275D7E" w:rsidRPr="006313C7" w:rsidRDefault="00FC4791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  <w:vAlign w:val="center"/>
          </w:tcPr>
          <w:p w:rsidR="00275D7E" w:rsidRPr="00CB6AA7" w:rsidRDefault="00275D7E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1008,67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1008,67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  <w:vAlign w:val="center"/>
          </w:tcPr>
          <w:p w:rsidR="00275D7E" w:rsidRDefault="00275D7E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1214C8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P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7F3AC1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CB1484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Pr="00EF76BC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119"/>
        <w:gridCol w:w="1840"/>
        <w:gridCol w:w="1300"/>
        <w:gridCol w:w="118"/>
        <w:gridCol w:w="1724"/>
        <w:gridCol w:w="552"/>
        <w:gridCol w:w="717"/>
        <w:gridCol w:w="713"/>
        <w:gridCol w:w="712"/>
        <w:gridCol w:w="708"/>
        <w:gridCol w:w="12"/>
        <w:gridCol w:w="16"/>
        <w:gridCol w:w="31"/>
        <w:gridCol w:w="650"/>
        <w:gridCol w:w="23"/>
        <w:gridCol w:w="16"/>
        <w:gridCol w:w="15"/>
        <w:gridCol w:w="655"/>
        <w:gridCol w:w="2126"/>
      </w:tblGrid>
      <w:tr w:rsidR="00B068FD" w:rsidRPr="007F3AC1" w:rsidTr="00902C1B">
        <w:trPr>
          <w:trHeight w:val="5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B068FD" w:rsidRPr="007F3AC1" w:rsidTr="00902C1B">
        <w:trPr>
          <w:cantSplit/>
          <w:trHeight w:val="655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068FD" w:rsidRPr="007F3AC1" w:rsidTr="00902C1B">
        <w:trPr>
          <w:trHeight w:val="114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068FD" w:rsidRPr="007F3AC1" w:rsidTr="00902C1B">
        <w:trPr>
          <w:trHeight w:val="458"/>
          <w:tblCellSpacing w:w="5" w:type="nil"/>
        </w:trPr>
        <w:tc>
          <w:tcPr>
            <w:tcW w:w="1474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B068FD" w:rsidRPr="007F3AC1" w:rsidTr="00902C1B">
        <w:trPr>
          <w:trHeight w:val="229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 5 )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B068FD" w:rsidRPr="007F3AC1" w:rsidTr="00902C1B">
        <w:trPr>
          <w:trHeight w:val="45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3B143A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068FD" w:rsidRPr="007F3AC1" w:rsidTr="00902C1B">
        <w:trPr>
          <w:trHeight w:val="4953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, включающет в себя: посадка и уход за однолетниками, комплексный уход за многолетними декоративными культурами, стрижка, обрезка и уходовые работы за  кустарниками, «живыми изгородями», посадки в рамках акций «Сад памяти», «Семья плюс», пр.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(Приложение № 5 )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B068FD" w:rsidRPr="007F3AC1" w:rsidTr="00902C1B">
        <w:trPr>
          <w:trHeight w:val="153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объектов, обеспеченных газоснабжением</w:t>
            </w:r>
          </w:p>
          <w:p w:rsidR="00B068FD" w:rsidRPr="007F3AC1" w:rsidRDefault="00B068FD" w:rsidP="00902C1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154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1122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431"/>
          <w:tblCellSpacing w:w="5" w:type="nil"/>
        </w:trPr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902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B068FD" w:rsidRPr="007F3AC1" w:rsidTr="00902C1B">
        <w:trPr>
          <w:trHeight w:val="314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068FD" w:rsidRPr="007F3AC1" w:rsidTr="00902C1B">
        <w:trPr>
          <w:trHeight w:val="187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Приложение № 6)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отремонтированных</w:t>
            </w:r>
          </w:p>
          <w:p w:rsidR="00B068FD" w:rsidRPr="007F3AC1" w:rsidRDefault="00B068FD" w:rsidP="00902C1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лестниц и пешеходных зон</w:t>
            </w:r>
          </w:p>
          <w:p w:rsidR="00B068FD" w:rsidRPr="007F3AC1" w:rsidRDefault="00B068FD" w:rsidP="00902C1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27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Закупка и установка скамеек, урн и мусорных контейнеров</w:t>
            </w:r>
          </w:p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B068FD" w:rsidRPr="007F3AC1" w:rsidRDefault="00B068FD" w:rsidP="00902C1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 и мусорных контейнеров,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068FD" w:rsidRPr="007F3AC1" w:rsidRDefault="00B068FD" w:rsidP="00902C1B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068FD" w:rsidRPr="007F3AC1" w:rsidTr="00902C1B">
        <w:trPr>
          <w:trHeight w:val="116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мероприятий с оформлением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29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наследия местного (муниципального) значения (Приложение № 7)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B068FD" w:rsidRPr="007F3AC1" w:rsidRDefault="00B068FD" w:rsidP="00902C1B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276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902C1B">
        <w:trPr>
          <w:trHeight w:val="73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902C1B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подпрограмме.»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**Количество территорий, на которых и содержание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214C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1214C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 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</w:t>
      </w:r>
      <w:r w:rsidR="007B7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3F0164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 памятника погибшим партизанам  в 1918 - 1922 г.г.,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3F0164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3F0164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3F0164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Малиновского,2а-2, 18 м на восток от жилого дома по ул.Малиновского,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3F0164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 Мира  до Низменного переулка, 35 ),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3F0164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 бульвар, 22 м на юго-восток от здания ТЦ по Озерному б-ру,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пр.,14 - Школьная,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3F0164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3F0164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ул.Ленинская,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3F0164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Владивостокская,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3F0164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3F0164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ЗАГСу,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3F0164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3F0164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3F0164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Спортивная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3F0164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3F0164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Пирогова в районе а/остановки "стадион "Приморец"/,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3F0164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3F0164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Перевальная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 /разворотное кольцо/, расположенный по Находкинскому пр. в районе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3F0164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3F0164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 районе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3F0164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3F0164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3F0164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3F0164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Прилегающая территория у Памятника Победы в Великой Отечественной войне 1941 - 1945 г.г.,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3F0164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от центральной площади до поворота на мыс Шефнера, 125 м на северо-восток от здания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3F0164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 Центральной площади, 27 м на северо-восток от здания 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 ул. Гагарина, 13 - ул. Гагарина, 15, 12 м на юго- запад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3F0164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3F0164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3F0164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села Ливадия, павшим в годы Великой отечественной войны 1941 - 1945 г.г.,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3F0164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автовокзала, 20 м на северо-запад от жилого дома по ул. Пограничная,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3F0164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монумента жителям села Анна, павшим в сражениях Великой Отечественной войны 1941 - 1945 г.г.,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3F0164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проспект, 9, 12 м на восток от жилого дома по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3F0164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пр., 11 - 17, 19 м на юго-восток от жилого дома по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"Каскад"  Восточный пр., 33, 10 м на юг от жилого дома по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3F0164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642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поселка Врангель, павшим в сражениях Великой Отечественной войны 1941 - 1945 г.г.,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3F0164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 Находка, пляж Волна, 450 м на юго-восток от санатория по ул.Шоссейной,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3F0164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3F0164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3F0164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ул.Свердлова,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ул.Верхне-Морская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3F0164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3F0164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пл.Совершеннолетия-Портовая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Лермонтова-Парковая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Находка-Майдзуру»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бульвара Энтузиастов МЖК в г.Находка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левого берега р. Каменка /Находкинский пр. от угла здания  ул. Озерный № 12 до моста ул. Постышева/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правого берега р. Каменка /прогулочная зона от здания ул. Малиновского, 32 до пер. Низменный/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в сквере ул. Спортивная, 16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в сквере ост. «Р/порт» Находкинский пр. 66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/0,9м2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на подпорной стенке в районе а/остановки «Ленинская»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кустарника «живая изгородь» от КПП до а/остановки «Тихоокеанская»/; м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сирени; дерена  (в районе ул. Малиновского, 1а-4а; в районе ул. Озерная, 12) шт./м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кедра; 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3F0164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  в мкр. п Врангель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в мкр. Ливадия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D66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3F0164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м2;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/0,716 м2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0164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«Балкия»/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3F0164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Озерном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3F0164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(вейгела)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/0,2м2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Перевальная – ул. Шевченко – Находкинский пр. /в районе МБОУ СШ № 7 по ул. Шевченко, 1/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посадки можжевельника, форзиции,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0164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F0164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3F0164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вейгела, сирень, луизиания)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3F0164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F0164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3F0164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Откос вдоль Находкинского пр. /со стороны ж/д вокзала «ст. Тихоокеанская»/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 в районе а/вокзала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Рабатки на Находкинском пр-те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«Орден» и «Фейерверк» в р-не КПП на пл.Совершеннолетия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по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по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сквер 356 м на юго-восток от здания по адресу: г.Находка, мкр.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</w:tbl>
    <w:p w:rsidR="00B068FD" w:rsidRDefault="00B068FD" w:rsidP="008072B1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835" w:rsidRPr="007F3835" w:rsidRDefault="00B068FD" w:rsidP="00B068FD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саженцев в рамках проведения акции «Семья плюс» и «Сад памяти» может выполняться также на иных общественных территориях при наличии необходимых условий и площадей для посадочных работ»</w:t>
      </w:r>
      <w:bookmarkStart w:id="1" w:name="_GoBack"/>
      <w:bookmarkEnd w:id="1"/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A51405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4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A51405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A5140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A5140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7F3835" w:rsidRPr="00A51405" w:rsidRDefault="0028169C" w:rsidP="001214C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02.10.2023</w:t>
            </w:r>
            <w:r w:rsidR="008072B1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по ул.Арсеньева от д.8 к д.9,10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п.Южно-Морской ул.Комсомольская от д.6 к д.6а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п.Южно-Морской от ул.Победы д.2 к ул.Комсомольской д.7а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п.Южно-Морской от ул.Победы, от д.2 к д.3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Пешеходная зона в районе ул.Молодежная, 7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от автобусной остановки «Детские товары» по ул.Постышева к ул.Дзержинского, д.13 (текущий ремонт)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Лестница от автобусной остановки «Лесная» в сторону домов 3а, 5а по ул.Астафьева</w:t>
            </w:r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6F4B0C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ул.Постышева к ул.Врубеля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7140C3">
        <w:tc>
          <w:tcPr>
            <w:tcW w:w="773" w:type="dxa"/>
            <w:vAlign w:val="center"/>
          </w:tcPr>
          <w:p w:rsidR="000C20D0" w:rsidRPr="00A60C79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0C20D0" w:rsidRPr="00391BF8" w:rsidRDefault="000C20D0" w:rsidP="00391BF8">
            <w:pPr>
              <w:suppressAutoHyphens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Лестница между зданиями ул.Спортивная,д.1 и ул.Спортивная, д.7 до ул.Ленинградская, д.22</w:t>
            </w:r>
            <w:r w:rsidR="00391BF8">
              <w:rPr>
                <w:rFonts w:ascii="Times New Roman" w:hAnsi="Times New Roman" w:cs="Times New Roman"/>
              </w:rPr>
              <w:t xml:space="preserve"> (</w:t>
            </w:r>
            <w:r w:rsidR="00391BF8">
              <w:rPr>
                <w:rFonts w:ascii="Times New Roman" w:hAnsi="Times New Roman" w:cs="Times New Roman"/>
                <w:lang w:val="en-US"/>
              </w:rPr>
              <w:t>I</w:t>
            </w:r>
            <w:r w:rsidR="00391BF8" w:rsidRPr="00391BF8">
              <w:rPr>
                <w:rFonts w:ascii="Times New Roman" w:hAnsi="Times New Roman" w:cs="Times New Roman"/>
              </w:rPr>
              <w:t xml:space="preserve"> </w:t>
            </w:r>
            <w:r w:rsidR="00391BF8">
              <w:rPr>
                <w:rFonts w:ascii="Times New Roman" w:hAnsi="Times New Roman" w:cs="Times New Roman"/>
              </w:rPr>
              <w:t>этап</w:t>
            </w:r>
            <w:r w:rsidR="00391BF8" w:rsidRPr="00391B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0C20D0" w:rsidRPr="00253EF8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  <w:tr w:rsidR="00391BF8" w:rsidRPr="005779F2" w:rsidTr="007140C3">
        <w:tc>
          <w:tcPr>
            <w:tcW w:w="773" w:type="dxa"/>
            <w:vAlign w:val="center"/>
          </w:tcPr>
          <w:p w:rsidR="00391BF8" w:rsidRPr="00A60C79" w:rsidRDefault="00391BF8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391BF8" w:rsidRPr="00DA3F5C" w:rsidRDefault="00391BF8" w:rsidP="0068788B">
            <w:pPr>
              <w:suppressAutoHyphens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Лестница между зданиями ул.Спортивная,д.1 и ул.Спортивная, д.7 до ул.Ленинградская, д.22 (</w:t>
            </w:r>
            <w:r w:rsidRPr="00DA3F5C">
              <w:rPr>
                <w:rFonts w:ascii="Times New Roman" w:hAnsi="Times New Roman" w:cs="Times New Roman"/>
                <w:lang w:val="en-US"/>
              </w:rPr>
              <w:t>II</w:t>
            </w:r>
            <w:r w:rsidRPr="00DA3F5C">
              <w:rPr>
                <w:rFonts w:ascii="Times New Roman" w:hAnsi="Times New Roman" w:cs="Times New Roman"/>
              </w:rPr>
              <w:t xml:space="preserve"> этап)</w:t>
            </w:r>
          </w:p>
        </w:tc>
        <w:tc>
          <w:tcPr>
            <w:tcW w:w="3402" w:type="dxa"/>
            <w:vAlign w:val="center"/>
          </w:tcPr>
          <w:p w:rsidR="00391BF8" w:rsidRPr="00DA3F5C" w:rsidRDefault="00391BF8" w:rsidP="007140C3">
            <w:pPr>
              <w:jc w:val="center"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1214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 - Памятник членам экипажа СРТМ «Бокситогорск», погибшего в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(этап проектирования)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C42B7C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9A3E02" w:rsidRPr="00C42B7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9A3E02" w:rsidRPr="008072B1" w:rsidRDefault="009A3E02" w:rsidP="009A3E02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села Душкино,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 Находка, с. Душкино, в районе ул. Беляева, д.1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908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1B75CF">
        <w:trPr>
          <w:trHeight w:val="69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3523A9" w:rsidTr="00991003">
        <w:trPr>
          <w:trHeight w:val="1006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Бюст Шалвы Георгиевича Надибаидзе,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144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 по ул. Комсомольская, 2А.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98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992"/>
        </w:trPr>
        <w:tc>
          <w:tcPr>
            <w:tcW w:w="663" w:type="dxa"/>
          </w:tcPr>
          <w:p w:rsidR="009A3E02" w:rsidRPr="00697C5A" w:rsidRDefault="00697C5A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Средняя,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9A3E02">
        <w:trPr>
          <w:trHeight w:val="276"/>
        </w:trPr>
        <w:tc>
          <w:tcPr>
            <w:tcW w:w="663" w:type="dxa"/>
          </w:tcPr>
          <w:p w:rsidR="009A3E02" w:rsidRPr="009A3E02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62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9A3E02" w:rsidRPr="009A3E02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8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3E02" w:rsidRPr="003523A9" w:rsidTr="001B75CF">
        <w:trPr>
          <w:trHeight w:val="930"/>
        </w:trPr>
        <w:tc>
          <w:tcPr>
            <w:tcW w:w="663" w:type="dxa"/>
          </w:tcPr>
          <w:p w:rsidR="009A3E02" w:rsidRPr="004E3857" w:rsidRDefault="00697C5A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9A3E02" w:rsidRPr="0067254A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259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1668" w:type="dxa"/>
          </w:tcPr>
          <w:p w:rsidR="009A3E02" w:rsidRPr="0067254A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134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Козьмино,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ул. Первостроителей д.3</w:t>
            </w: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161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991003">
        <w:tc>
          <w:tcPr>
            <w:tcW w:w="663" w:type="dxa"/>
          </w:tcPr>
          <w:p w:rsidR="009A3E02" w:rsidRPr="00697C5A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Скульптура Женщина с птицей «Мир», установленная в честь 30-летия породнения городов Находка и Майдзуру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1214C8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8072B1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8072B1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42 м на юг от жилого дома по пр-т Мира, 32, общей площадью 1 678 кв.м</w:t>
            </w:r>
          </w:p>
        </w:tc>
        <w:tc>
          <w:tcPr>
            <w:tcW w:w="2093" w:type="dxa"/>
          </w:tcPr>
          <w:p w:rsidR="006A6F13" w:rsidRPr="008072B1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72B1" w:rsidRPr="007F3835" w:rsidTr="00E207D4">
        <w:trPr>
          <w:trHeight w:val="688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8072B1" w:rsidRPr="008072B1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63 м на запад от жилого дома по ул. Бокситогорская, 26, общей площадью 732 кв.м</w:t>
            </w:r>
          </w:p>
        </w:tc>
        <w:tc>
          <w:tcPr>
            <w:tcW w:w="2093" w:type="dxa"/>
          </w:tcPr>
          <w:p w:rsidR="008072B1" w:rsidRPr="008072B1" w:rsidRDefault="008072B1" w:rsidP="005F3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2B1" w:rsidRPr="007F3835" w:rsidTr="00E207D4">
        <w:trPr>
          <w:trHeight w:val="712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8072B1" w:rsidRPr="008072B1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75 м на северо-запад от жилого дома по ул. Бокситогорская, 2а, общей площадью 12 226 кв.м</w:t>
            </w:r>
          </w:p>
        </w:tc>
        <w:tc>
          <w:tcPr>
            <w:tcW w:w="2093" w:type="dxa"/>
          </w:tcPr>
          <w:p w:rsidR="008072B1" w:rsidRPr="008072B1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2B1" w:rsidRPr="007F3835" w:rsidTr="00E207D4">
        <w:trPr>
          <w:trHeight w:val="695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8072B1" w:rsidRPr="008072B1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70 м на восток от жилого дома по б-р Приморский, 3, общей площадью 3 804 кв.м</w:t>
            </w:r>
          </w:p>
        </w:tc>
        <w:tc>
          <w:tcPr>
            <w:tcW w:w="2093" w:type="dxa"/>
          </w:tcPr>
          <w:p w:rsidR="008072B1" w:rsidRPr="008072B1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66E44" w:rsidRPr="003523A9" w:rsidRDefault="00466E44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6E44" w:rsidRPr="003523A9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6B" w:rsidRDefault="009A346B" w:rsidP="006E7B7D">
      <w:pPr>
        <w:spacing w:after="0" w:line="240" w:lineRule="auto"/>
      </w:pPr>
      <w:r>
        <w:separator/>
      </w:r>
    </w:p>
  </w:endnote>
  <w:endnote w:type="continuationSeparator" w:id="0">
    <w:p w:rsidR="009A346B" w:rsidRDefault="009A346B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6B" w:rsidRDefault="009A346B" w:rsidP="006E7B7D">
      <w:pPr>
        <w:spacing w:after="0" w:line="240" w:lineRule="auto"/>
      </w:pPr>
      <w:r>
        <w:separator/>
      </w:r>
    </w:p>
  </w:footnote>
  <w:footnote w:type="continuationSeparator" w:id="0">
    <w:p w:rsidR="009A346B" w:rsidRDefault="009A346B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68788B" w:rsidRDefault="006878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FD">
          <w:rPr>
            <w:noProof/>
          </w:rPr>
          <w:t>22</w:t>
        </w:r>
        <w:r>
          <w:fldChar w:fldCharType="end"/>
        </w:r>
      </w:p>
    </w:sdtContent>
  </w:sdt>
  <w:p w:rsidR="0068788B" w:rsidRDefault="006878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68788B" w:rsidRDefault="0068788B">
        <w:pPr>
          <w:pStyle w:val="a4"/>
          <w:jc w:val="center"/>
        </w:pPr>
      </w:p>
      <w:p w:rsidR="0068788B" w:rsidRDefault="006878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FD">
          <w:rPr>
            <w:noProof/>
          </w:rPr>
          <w:t>28</w:t>
        </w:r>
        <w:r>
          <w:fldChar w:fldCharType="end"/>
        </w:r>
      </w:p>
    </w:sdtContent>
  </w:sdt>
  <w:p w:rsidR="0068788B" w:rsidRDefault="006878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057EB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4BA4"/>
    <w:rsid w:val="00101372"/>
    <w:rsid w:val="00102361"/>
    <w:rsid w:val="001053E5"/>
    <w:rsid w:val="00107A39"/>
    <w:rsid w:val="00112716"/>
    <w:rsid w:val="001214C8"/>
    <w:rsid w:val="0012188B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58F9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2E1E"/>
    <w:rsid w:val="001D6DC1"/>
    <w:rsid w:val="001E4F74"/>
    <w:rsid w:val="001F2188"/>
    <w:rsid w:val="001F22A4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75D7E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1B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61CD3"/>
    <w:rsid w:val="0046258C"/>
    <w:rsid w:val="0046541C"/>
    <w:rsid w:val="00466E44"/>
    <w:rsid w:val="004671BA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A6347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F0F89"/>
    <w:rsid w:val="004F1489"/>
    <w:rsid w:val="004F2FB9"/>
    <w:rsid w:val="004F4C83"/>
    <w:rsid w:val="005014F0"/>
    <w:rsid w:val="005100B0"/>
    <w:rsid w:val="005128F1"/>
    <w:rsid w:val="0051311D"/>
    <w:rsid w:val="005162E2"/>
    <w:rsid w:val="005207BE"/>
    <w:rsid w:val="0052181A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6E33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B7D69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4BC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13C7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8788B"/>
    <w:rsid w:val="0069088F"/>
    <w:rsid w:val="00695DF4"/>
    <w:rsid w:val="00697C5A"/>
    <w:rsid w:val="006A216E"/>
    <w:rsid w:val="006A4CBA"/>
    <w:rsid w:val="006A5A8F"/>
    <w:rsid w:val="006A6F13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3EA7"/>
    <w:rsid w:val="006F4B0C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40C3"/>
    <w:rsid w:val="00716404"/>
    <w:rsid w:val="007222CE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B0FA6"/>
    <w:rsid w:val="007B3883"/>
    <w:rsid w:val="007B689A"/>
    <w:rsid w:val="007B7614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3AC1"/>
    <w:rsid w:val="007F42CA"/>
    <w:rsid w:val="007F465C"/>
    <w:rsid w:val="007F734C"/>
    <w:rsid w:val="008004D0"/>
    <w:rsid w:val="008072B1"/>
    <w:rsid w:val="00807D18"/>
    <w:rsid w:val="00812177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4989"/>
    <w:rsid w:val="00976F77"/>
    <w:rsid w:val="00983317"/>
    <w:rsid w:val="00983526"/>
    <w:rsid w:val="009836C6"/>
    <w:rsid w:val="00984A00"/>
    <w:rsid w:val="00985206"/>
    <w:rsid w:val="009852CB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F09"/>
    <w:rsid w:val="009A346B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1405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4F2C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2B66"/>
    <w:rsid w:val="00AD4E6B"/>
    <w:rsid w:val="00AD4FAE"/>
    <w:rsid w:val="00AD6170"/>
    <w:rsid w:val="00AD7FE0"/>
    <w:rsid w:val="00AE43B9"/>
    <w:rsid w:val="00AE498C"/>
    <w:rsid w:val="00AE4AF7"/>
    <w:rsid w:val="00AF3272"/>
    <w:rsid w:val="00AF518B"/>
    <w:rsid w:val="00AF6C50"/>
    <w:rsid w:val="00B00273"/>
    <w:rsid w:val="00B02798"/>
    <w:rsid w:val="00B0329B"/>
    <w:rsid w:val="00B045ED"/>
    <w:rsid w:val="00B068FD"/>
    <w:rsid w:val="00B10D78"/>
    <w:rsid w:val="00B10EBC"/>
    <w:rsid w:val="00B11D50"/>
    <w:rsid w:val="00B149F6"/>
    <w:rsid w:val="00B17B1C"/>
    <w:rsid w:val="00B204BB"/>
    <w:rsid w:val="00B32955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40C1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2ADF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B082B"/>
    <w:rsid w:val="00BB3FFD"/>
    <w:rsid w:val="00BB4779"/>
    <w:rsid w:val="00BC418F"/>
    <w:rsid w:val="00BC54F3"/>
    <w:rsid w:val="00BC7835"/>
    <w:rsid w:val="00BD5E53"/>
    <w:rsid w:val="00BD737C"/>
    <w:rsid w:val="00BE0629"/>
    <w:rsid w:val="00BE2ACE"/>
    <w:rsid w:val="00BE3462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8583C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236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3F5C"/>
    <w:rsid w:val="00DA4B14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716"/>
    <w:rsid w:val="00DE2B8E"/>
    <w:rsid w:val="00DE2D77"/>
    <w:rsid w:val="00DE3724"/>
    <w:rsid w:val="00DE3DCF"/>
    <w:rsid w:val="00DE554D"/>
    <w:rsid w:val="00DE7274"/>
    <w:rsid w:val="00DF4CE4"/>
    <w:rsid w:val="00DF4FCD"/>
    <w:rsid w:val="00DF67F1"/>
    <w:rsid w:val="00E030B2"/>
    <w:rsid w:val="00E0377F"/>
    <w:rsid w:val="00E0463B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65386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2B15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10ED2"/>
    <w:rsid w:val="00F1154E"/>
    <w:rsid w:val="00F14DB8"/>
    <w:rsid w:val="00F14DD2"/>
    <w:rsid w:val="00F16BE2"/>
    <w:rsid w:val="00F20FEE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4791"/>
    <w:rsid w:val="00FC621D"/>
    <w:rsid w:val="00FD1E65"/>
    <w:rsid w:val="00FD1EE1"/>
    <w:rsid w:val="00FD2661"/>
    <w:rsid w:val="00FD33A7"/>
    <w:rsid w:val="00FD4601"/>
    <w:rsid w:val="00FD46F1"/>
    <w:rsid w:val="00FD7BAD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A86C-10E5-4A80-849E-269978FB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7562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2</cp:revision>
  <cp:lastPrinted>2023-07-26T04:47:00Z</cp:lastPrinted>
  <dcterms:created xsi:type="dcterms:W3CDTF">2023-12-05T22:52:00Z</dcterms:created>
  <dcterms:modified xsi:type="dcterms:W3CDTF">2023-12-05T22:52:00Z</dcterms:modified>
</cp:coreProperties>
</file>