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5E" w:rsidRPr="000A30DC" w:rsidRDefault="00D36A5E" w:rsidP="00242AAC">
      <w:pPr>
        <w:pStyle w:val="1"/>
        <w:spacing w:before="360" w:after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Toc39141644"/>
      <w:bookmarkStart w:id="1" w:name="_Toc102127183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Доклад о достигнутых значениях 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показателей эффективности деятельности органов местного самоуправления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Находки</w:t>
      </w:r>
      <w:r w:rsidR="0032341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нского городского округа за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bookmarkEnd w:id="0"/>
      <w:bookmarkEnd w:id="1"/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Доклад главы Находкинского городского округа о достигнутых значениях показателей для оценки эффективности деятельности органов местного самоуправления Находки</w:t>
      </w:r>
      <w:r w:rsidR="009D476D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нского городского округа за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год и их планируемых значениях на трехлетний период подготовлен в соответствии с Постановлением Правительства Рос</w:t>
      </w:r>
      <w:r w:rsidR="001F330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сийской Федерации от 17.12.2012 №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1317 «О мерах </w:t>
      </w:r>
      <w:r w:rsidR="009D476D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по</w:t>
      </w:r>
      <w:r w:rsidR="009D476D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реализации Указа Президента Ро</w:t>
      </w:r>
      <w:r w:rsidR="001F330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ссийской Федерации от 28.04.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2008 № 607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«Об оценке эффективности деятельности органов местного самоуправления городских округов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и муниципальных районов».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При подготовке доклада использованы официальные данные Территориального органа Федеральной службы государственной статистики по Приморскому краю, данные отраслевых (функциональных) органов администрации Находкинского городского округа.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Находкинский городской округ является муниципальным образованием, входящим в состав Приморского края.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Наделен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статусом городского округа Законом Приморского</w:t>
      </w:r>
      <w:r w:rsidR="009B52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края от 06 августа 2004 года №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shd w:val="clear" w:color="auto" w:fill="FFFFFF"/>
          <w:lang w:eastAsia="ru-RU"/>
        </w:rPr>
        <w:t xml:space="preserve">183-КЗ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«О Находкинском городском округе». В состав Находкинского городского округа входит город Находка, поселок Береговой, села Анна и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Душкино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Находкинский городской округ расположен в южной части Приморского края, площадь территории составляет 360,4 квадратных километра (0,22% от общей площади территории Приморского края).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Численность населения Находкинского городского округа, по состоянию на 01 янв</w:t>
      </w:r>
      <w:r w:rsidR="00D4796D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аря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года, составила </w:t>
      </w:r>
      <w:r w:rsidR="009B52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138 </w:t>
      </w:r>
      <w:r w:rsidR="00D4796D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806 человек 7,6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% от общей численности населения Приморского края).</w:t>
      </w:r>
      <w:proofErr w:type="gramEnd"/>
    </w:p>
    <w:p w:rsidR="00D36A5E" w:rsidRPr="000A30DC" w:rsidRDefault="00D36A5E" w:rsidP="00FF241C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2" w:name="_Toc39141645"/>
      <w:r w:rsidRPr="000A30DC">
        <w:rPr>
          <w:rFonts w:ascii="Times New Roman" w:eastAsia="Calibri" w:hAnsi="Times New Roman" w:cs="Times New Roman"/>
          <w:color w:val="000000" w:themeColor="text1"/>
        </w:rPr>
        <w:t>Экономическое развитие</w:t>
      </w:r>
      <w:bookmarkEnd w:id="2"/>
    </w:p>
    <w:p w:rsidR="00E223B7" w:rsidRPr="000A30DC" w:rsidRDefault="00E223B7" w:rsidP="00E223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В 2022 году в Находкинском городском округе наблюдалась положительная динамика основных социально-экономических показателей. В 2022 году показатель объема грузооборота чер</w:t>
      </w:r>
      <w:r w:rsidR="00E84EA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ез порты Находки составил 108,1 млн. тонн, (на 3,5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млн.</w:t>
      </w:r>
      <w:r w:rsidR="00E84EA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тонн больше чем 2021 году) и это первая позиция среди городов-портов Дальневосточного бассейна. </w:t>
      </w:r>
    </w:p>
    <w:p w:rsidR="00E223B7" w:rsidRPr="000A30DC" w:rsidRDefault="00E223B7" w:rsidP="00E223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lastRenderedPageBreak/>
        <w:t xml:space="preserve">Оборот крупных и средних организаций </w:t>
      </w:r>
      <w:r w:rsidR="00E84EA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вырос на 14,6% и составил 205,6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млрд</w:t>
      </w:r>
      <w:r w:rsidR="00E84EA8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.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рублей. </w:t>
      </w:r>
    </w:p>
    <w:p w:rsidR="00A84A74" w:rsidRPr="000A30DC" w:rsidRDefault="00A84A74" w:rsidP="00D36A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За 2022 год объем отгруженных товаров собственного производства в действующих ценах в добывающих, обрабатывающих отраслях, в производстве и распределении электроэнергии, газа и воды в фактических ценах на крупных и средних предприятиях составил </w:t>
      </w:r>
      <w:r w:rsidR="00E84EA8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17293,8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рублей, что выше уровня 2021 года на 2,1%.</w:t>
      </w:r>
    </w:p>
    <w:p w:rsidR="00C11F54" w:rsidRPr="000A30DC" w:rsidRDefault="00D36A5E" w:rsidP="00C11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Среднемесячная заработная плата работающих в организациях, не относящихся к субъектам мал</w:t>
      </w:r>
      <w:r w:rsidR="0031694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ого предпринимательства, за 2022 год составила </w:t>
      </w:r>
      <w:r w:rsidR="000E63F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76</w:t>
      </w:r>
      <w:r w:rsidR="0031694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,4</w:t>
      </w:r>
      <w:r w:rsidR="00E84EA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тыс.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 (третье место среди городских округов Приморског</w:t>
      </w:r>
      <w:r w:rsidR="0031694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края) и воз</w:t>
      </w:r>
      <w:r w:rsidR="00337F5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росла к уровню 2021 года на 16,1</w:t>
      </w:r>
      <w:r w:rsidR="005E7AD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 (+10,6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 рублей).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OLE_LINK1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</w:t>
      </w:r>
      <w:r w:rsidR="006664DB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среднемесячная номинальная начисленная заработная плата работников муниципальных учреждений культуры и искусства составила </w:t>
      </w:r>
      <w:r w:rsidR="009B52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52 414 руб., что на 4 847,10 </w:t>
      </w:r>
      <w:r w:rsidR="006664DB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руб. (+10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,2%) больше</w:t>
      </w:r>
      <w:r w:rsidR="006A1B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63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значения </w:t>
      </w:r>
      <w:r w:rsidR="00103310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proofErr w:type="gramStart"/>
      <w:r w:rsidR="006A1B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f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Плановые значения </w:t>
      </w:r>
      <w:r w:rsidR="009B52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показателя на 2023 год </w:t>
      </w:r>
      <w:r w:rsidR="009B52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</w:r>
      <w:r w:rsidR="0081519D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55 435</w:t>
      </w:r>
      <w:r w:rsidR="00886022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1519D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рублей. Средняя заработная плата была приведена в соответствие с целевыми показателями «дорожной карты», утвержденной постановлением администрации Находкинского городского округа от 27.06.2018 № 1159 «Об утверждении плана мероприятий («дорожной карты») «Изменения в отраслях социальной сферы, направленные на повышение эффективности культуры в Находкинском городском округе».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Рост заработной платы произошел в муниципальных общ</w:t>
      </w:r>
      <w:r w:rsidR="007654C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еобразовательных учреждениях (+6 325,20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рубля) и муниципальных дошкольных</w:t>
      </w:r>
      <w:r w:rsidR="007654C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образовательных учреждениях (+4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7654C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649,40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рублей).</w:t>
      </w:r>
    </w:p>
    <w:bookmarkEnd w:id="3"/>
    <w:p w:rsidR="00D36A5E" w:rsidRPr="000A30DC" w:rsidRDefault="00890BBA" w:rsidP="00D36A5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За 2022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proofErr w:type="gramStart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год</w:t>
      </w:r>
      <w:proofErr w:type="gramEnd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сальдированный финансовый результат крупных и средних организаций Находкинского город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ского округа сложился в сумме 49,8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 млрд. 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рублей (в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целом по Приморскому краю – 152,8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 млрд. 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рублей).</w:t>
      </w:r>
    </w:p>
    <w:p w:rsidR="00D36A5E" w:rsidRPr="000A30DC" w:rsidRDefault="00790637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В 2022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году доля прибыльных организаций, не относящихся к субъектам малого предпринимательства, средняя численность которых превышает 15 человек в Находкинском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 городском округе, составляла 83,9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% от общего их числа, доля убыточных орган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изаций в 2022 году составляла 16,1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 xml:space="preserve">%. </w:t>
      </w:r>
    </w:p>
    <w:p w:rsidR="00D36A5E" w:rsidRPr="000A30DC" w:rsidRDefault="00D36A5E" w:rsidP="004E5B5F">
      <w:pPr>
        <w:pStyle w:val="3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4" w:name="_Toc39141646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Развитие малого и среднего предпринимательства</w:t>
      </w:r>
      <w:bookmarkEnd w:id="4"/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Находкинского городск</w:t>
      </w:r>
      <w:r w:rsidR="00AE6782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округа, по состоянию на 31.12.</w:t>
      </w:r>
      <w:r w:rsidR="00BE27F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</w:t>
      </w:r>
      <w:r w:rsidR="00BB312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зарегистрировано 6956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субъектов малого и среднего предп</w:t>
      </w:r>
      <w:r w:rsidR="00BB312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ринимательства, из них 4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BB312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008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индивидуаль</w:t>
      </w:r>
      <w:r w:rsidR="00BB312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ных предпринимателей и 2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BB312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936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малых, средних и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микропредприятий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B312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сравнению с 2021 годом количество субъектов малого и среднего предпринимательства увеличилось на 0,8 %.</w:t>
      </w:r>
    </w:p>
    <w:p w:rsidR="00BB3129" w:rsidRPr="000A30DC" w:rsidRDefault="00BB3129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2022 года количество плательщиков «Налога на профессиональный доход» возросло на 77 % к уровню 2021 года и составило 5</w:t>
      </w:r>
      <w:r w:rsidR="00446016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242 человек.</w:t>
      </w:r>
    </w:p>
    <w:p w:rsidR="00D36A5E" w:rsidRPr="000A30DC" w:rsidRDefault="00AE6782" w:rsidP="00D36A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На 31.12.2022</w:t>
      </w:r>
      <w:r w:rsidR="00D36A5E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субъектов малого и сре</w:t>
      </w:r>
      <w:r w:rsidR="00446016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днего предпринимательства на 10 </w:t>
      </w:r>
      <w:r w:rsidR="00D36A5E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000</w:t>
      </w:r>
      <w:r w:rsidR="000B35C3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человек населения составило 501,131</w:t>
      </w:r>
      <w:r w:rsidR="00D36A5E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единиц</w:t>
      </w:r>
      <w:r w:rsidR="000B35C3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 что на 16 единиц больше показателя за 2021 год</w:t>
      </w:r>
      <w:r w:rsidR="00D36A5E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36A5E" w:rsidRPr="000A30DC" w:rsidRDefault="00D36A5E" w:rsidP="00BF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BF0ED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бщая численность занятых в малых и средних предприятиях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F0ED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составляет 14,8 тыс. человек.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</w:t>
      </w:r>
      <w:r w:rsidR="00BF0ED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иятий и организаций составила 32,1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</w:t>
      </w:r>
      <w:r w:rsidR="00BF0ED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что на 1,2 </w:t>
      </w:r>
      <w:proofErr w:type="spellStart"/>
      <w:r w:rsidR="00BF0ED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proofErr w:type="spellEnd"/>
      <w:r w:rsidR="00BF0ED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ниже показателя за 2021 год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Находкинского городского округа реализуются мероприятия национального проекта «Малое и среднее предпринимательство и поддержка индивидуальной предпринимательской инициативы»,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который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включает четыре федеральных проекта: «Акселерация субъектов МСП», «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Предакселерация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«Поддержка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самозанятых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и «Цифровая платформа МСП».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Содействие развитию субъектов малого и среднего предпринимательства в Находкинском городском округе осуществлялось в рамках муниципальной программы «Развитие малого и среднего предпринимательства на территории Находкинского городского округа на 2021 – 2023 годы и на период до 2025 года».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Основная задача программы - «Развитие механизмов финансовой, имущественной, информационной, консультационной поддержки субъектов малого и среднего предпринимательства».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Финансовая поддержка предпринимательских инициатив из бюджета Находкинского городского округа в сумме 2,2 млн. руб. была оказана в виде предоставления субсидий по 4-м направлениям:</w:t>
      </w:r>
    </w:p>
    <w:p w:rsidR="00C42902" w:rsidRPr="000A30DC" w:rsidRDefault="00C42902" w:rsidP="00C429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субсидии на возмещение части затрат, связанных с уплатой лизинговых платежей по договорам финансовой аренды (лизинга), предоставлены 4 субъектам;</w:t>
      </w:r>
    </w:p>
    <w:p w:rsidR="00C42902" w:rsidRPr="000A30DC" w:rsidRDefault="00C42902" w:rsidP="00C429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субсидии на возмещение части затрат, связанных с приобретением оборудования, предоставлены 9 субъектам;</w:t>
      </w:r>
    </w:p>
    <w:p w:rsidR="00C42902" w:rsidRPr="000A30DC" w:rsidRDefault="00C42902" w:rsidP="00C429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предпринимательства, предоставлены 6 субъектам;</w:t>
      </w:r>
    </w:p>
    <w:p w:rsidR="00C42902" w:rsidRPr="000A30DC" w:rsidRDefault="00C42902" w:rsidP="00C429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субсидии на возмещение затрат </w:t>
      </w:r>
      <w:r w:rsidRPr="000A3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не являющимся индивидуальными предпринимателями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применяющим специальный налоговый режим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«Налог на профессиональный доход», предоставлены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самозанятым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гражданам.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рамках муниципальной программы кроме финансовой поддержки была оказана информационная и консультационная поддержка субъектам малого и среднего предпринимательства. Информация размещается на официальном сайте Находкинского городского округа в разделах «Находка для инвестора», «Малый и средний бизнес» и на постоянной основе публикуется в социальных сетях. Информационную и консультационную помощь получили 1034 субъекта МСП и граждан, заинтересованных в создании собственного бизнеса.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основным направлениям работы по поддержке малого и среднего предпринимательства в Находкинском городском округе выстроено эффективное взаимодействие с региональными институтами развития предпринимательства. Совместно реализуются мероприятия по кредитно-гарантийной, имущественной, правовой, информационной, образовательной, маркетинговой поддержке и развитию субъектов бизнеса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2022 году совместно с институтами развития было проведено более 10 мероприятий. В мероприятиях приняли участие 657 субъектов МСП,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самозанятых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 и граждан, заинтересованных в создании собственного бизнеса.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Состоялся двухдневный Форум предпринимателей, который был посвящен теме «Бизнес в условиях новой реальности». На Форуме работали 7 дискуссионных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площадок по тематике: успешные практики получения поддержки, «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Импортозамещение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средство внутреннего производства», «Поддержка агропромышленного комплекса, поддержка сельского хозяйства Приморского края», «Доступность получения государственных и муниципальных услуг в области земельных отношений», «Инвестиционная привлекательность территорий», «О возможности участия малого бизнеса в проектах развития АО «НЗМУ». Проведена  стратегическая сессия «Развитие креативной экономики». Форум посетили 140 субъектов МСП и граждан, предполагающих начать собственный бизнес.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тиражирования опыта получения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грантовой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поддержки и информирования о возможностях получения статуса социального предприятия с субъектами предпринимательской деятельности, открывшими бизнес за счет средств государственной программы «Социальная поддержка граждан», была проведена бизнес-встреча «Путь к успеху. Социальный контракт». В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бизнес-встрече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приняли участие 47 человек: 21 индивидуальный предприниматель и 26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самозанятых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конец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 года в реестр социальных предпринимателей по Находкинскому городскому округу было включено 36 человек, за год их число увеличилось на 14 человек. Они могут пользоваться региональными мерами поддержки: 1 % налоговой ставки по УСН, в случае если объектом налогообложения являются доходы, получать гранты, бесплатно обучаться в акселераторе, получать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микрокредиты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Совместно с Центром занятости населения г. Находка в рамках исполнения государственной программы «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Самозанятость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безработных граждан» было рассмотрено 19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бизнес-проектов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безработных граждан по открытию собственного дела. Получив поддержку, 18 человек открыли свое дело.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Совместно с КГКУ «Центр социальной поддержки населения Приморского края» были организованы рабочие встречи с гражданами, которые могут зарегистрироваться как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самозанятые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получить социальную помощь в виде финансовой поддержки на основании социального контракта. По результатам заключено 33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социальных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контракта на осуществление индивидуальной предпринимательской деятельности, что выше уровня прошлого года в 3,5 раза.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до 5242 человек увеличилось число граждан, зарегистрированных в качестве налогоплательщиков налога на профессиональный доход, это в 1,8 раза больше показателя прошлого года.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За отчетный период размещено 10 «историй успеха» предпринимателей,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самозанятых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граждан, получивших финансовую, имущественную, информационную поддержку, а также поддержку на открытие бизнеса путем заключения социального контракта. На официальном сайте Находкинского городского округа размещено 117 публикаций.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профориентации школьников, формирования у школьников профессиональных и карьерных сценариев, предпринимательского мышления продолжил работу проект «Наставничество» по привлечению предпринимателей к систематической работе со школьниками по их профессиональной ориентации. За отчетный период было проведено 8 встреч в общеобразовательных учреждениях Находкинского городского округа, в которых приняли участие 243 человека.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Перечень муниципального имущества, свободного от прав третьих лиц,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предпринимательства») был расширен на 10% или 6 единиц.</w:t>
      </w:r>
      <w:proofErr w:type="gramEnd"/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 включает 61 объект общей площадью 2105,16 кв. м. В аренду передано 48 объектов, общей площадью 1923,26 кв. м. Количество свободных помещений составляет 13 единиц площадью 181,9 кв. м.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официальном сайте Находкинского городского округа в разделе «Находка для инвестора» (вкладка «имущество для бизнеса») размещено 2 перечня для удобства поиска: перечень занятых помещений и перечень свободных помещений. Из перечня свободных муниципальных помещений выделены нежилые помещения, подходящие для осуществления торговой деятельности.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целью выявления положений, вводящих избыточные административные и иные ограничения и обязанности для субъектов предпринимательской и инвестиционной деятельности на стадии подготовки проектов нормативных правовых актов, в 2022 году была проведена оценка регулирующего воздействия в отношении 8 проектов МНПА и экспертиза 4 действующих МНПА. 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создания условий для реализации сельскохозяйственной продукции крестьянских (фермерских) и личных подсобных хозяйств и продукции местных производителей в 2022 году на территории Находкинского городского округа было организовано в круглогодичном ежедневном режиме 8 ярмарок, в том числе в п.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Врангель и п. Ливадия. Для реализации изделий народных художественных промыслов собственного изготовления организована работа 2 ярмарок.</w:t>
      </w:r>
    </w:p>
    <w:p w:rsidR="00C42902" w:rsidRPr="000A30DC" w:rsidRDefault="00C42902" w:rsidP="00C42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 исполнение распоряжения Правительства Российской Федерации от 30.01.2021 № 208-р количество ярмарок, организованных в  Находкинском городском округе, увеличилось: на прилегающих территориях торговых центров и торговых комплексов было организовано 130 ярмарок выходного дня. На ярмарках покупателям был предложен широкий ассортимент товаров приморского производства, в том числе: сельскохозяйственная продукция, дикоросы, мед и продукция пчеловодства, хлеб, хлебобулочные, молочная продукция, яйцо куриное и др.</w:t>
      </w:r>
    </w:p>
    <w:p w:rsidR="00C42902" w:rsidRPr="000A30DC" w:rsidRDefault="00C42902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период новогодних праздников организовано 8 ярмарок для реализации деревьев хвойных пород, новогодних сувениров промышленного изготовления и ручной работы.</w:t>
      </w:r>
    </w:p>
    <w:p w:rsidR="00D36A5E" w:rsidRPr="000A30DC" w:rsidRDefault="00D36A5E" w:rsidP="00176C81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5" w:name="_Toc39141647"/>
      <w:r w:rsidRPr="000A30DC">
        <w:rPr>
          <w:rFonts w:ascii="Times New Roman" w:eastAsia="Calibri" w:hAnsi="Times New Roman" w:cs="Times New Roman"/>
          <w:color w:val="000000" w:themeColor="text1"/>
        </w:rPr>
        <w:t>Инвестиции</w:t>
      </w:r>
      <w:bookmarkEnd w:id="5"/>
    </w:p>
    <w:p w:rsidR="00D36A5E" w:rsidRPr="000A30DC" w:rsidRDefault="00D36A5E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развитие экономики и социальной сферы Находкинского городского округа за 202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было направлено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17 142,98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млн. рублей инвестиций крупных и средних организаций, что составило 8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,4% к уровню 202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 </w:t>
      </w:r>
    </w:p>
    <w:p w:rsidR="00D36A5E" w:rsidRPr="000A30DC" w:rsidRDefault="00D36A5E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Инвестиции за счет бюджетных сре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 в кр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упных и средних организациях составили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448,86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млн. рублей, в том числе из федерального бюджета –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237,23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млн. рублей, краевого –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154,75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млн. рублей и местного –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56,88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млн. рублей.</w:t>
      </w:r>
    </w:p>
    <w:p w:rsidR="00D36A5E" w:rsidRPr="000A30DC" w:rsidRDefault="00D36A5E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общем объеме инвестиции в здания и сооружения составили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67,83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%, в машины, оборудо</w:t>
      </w:r>
      <w:r w:rsidR="00545CE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вание и транспортные средства </w:t>
      </w:r>
      <w:r w:rsidR="00545CE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  <w:t xml:space="preserve">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30,82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%, объекты интеллектуальной </w:t>
      </w:r>
      <w:r w:rsidR="00545CE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собственности </w:t>
      </w:r>
      <w:r w:rsidR="00545CE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  <w:t xml:space="preserve"> 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0,80</w:t>
      </w:r>
      <w:r w:rsidR="00545CE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%, прочие </w:t>
      </w:r>
      <w:r w:rsidR="00545CE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0,</w:t>
      </w:r>
      <w:r w:rsidR="00C225F8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55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%.</w:t>
      </w:r>
    </w:p>
    <w:p w:rsidR="00D36A5E" w:rsidRDefault="00C225F8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значительную часть капитальных вложений в Находкинском городском округе осуществляли: </w:t>
      </w:r>
      <w:proofErr w:type="gramStart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proofErr w:type="spellStart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Транснефть</w:t>
      </w:r>
      <w:proofErr w:type="spellEnd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Порт Козьмино», АО «Восточный Порт», АО «НСРЗ», АО «НЗМУ»; АО «Находкинский МТП»; АО «Терминал Астафьева»; ООО «Стивидорная компания «Малый порт»; АО «Находкинский морской рыбный порт», ООО «Восточно-Уральский Терминал».</w:t>
      </w:r>
      <w:proofErr w:type="gramEnd"/>
    </w:p>
    <w:p w:rsidR="00424462" w:rsidRPr="00424462" w:rsidRDefault="00424462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Находке реализуется три приоритетных инвестиционных проекта Приморского края: «Создание сухопутного транспортно-логистического центра для взаимодействия железнодорожного и морского транспорта», инициатор ООО «Имущественный комплекс ЗСК»; «Строительство жилого комплекса «Три богатыря», инициатор ООО «</w:t>
      </w:r>
      <w:proofErr w:type="spellStart"/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Вива</w:t>
      </w:r>
      <w:proofErr w:type="spellEnd"/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 «Строительство многоквартирного жилого дома на территории г. Находка», инициатор ООО «СЗ «</w:t>
      </w:r>
      <w:proofErr w:type="spellStart"/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Римэко</w:t>
      </w:r>
      <w:proofErr w:type="spellEnd"/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 Общий объем инвестиций составляет более 4 </w:t>
      </w:r>
      <w:proofErr w:type="gramStart"/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млрд</w:t>
      </w:r>
      <w:proofErr w:type="gramEnd"/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руб. В результате будет создано 200 рабочих мест. Проект по созданию сухопутного транспортно-логистического центра обеспечит взаимодействие железнодорожного и морского транспорта, расширит возможности по перевалке грузов и обеспечит снижение нагрузки на терминалы морского порта Восточный. Будут введены многоквартирные жилые дома на 776 квартир, из которых 60 квартир предназначено для переселения граждан из аварийного жилья и 44 квартиры для детей-сирот. </w:t>
      </w:r>
    </w:p>
    <w:p w:rsidR="00424462" w:rsidRPr="00424462" w:rsidRDefault="00424462" w:rsidP="00424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44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предпринимательских инициативах в малом бизнесе свидетельствует показатель объема инвестиций в сумме более полумиллиарда рублей.</w:t>
      </w:r>
    </w:p>
    <w:p w:rsidR="00424462" w:rsidRPr="000A30DC" w:rsidRDefault="00424462" w:rsidP="00D36A5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36A5E" w:rsidRPr="000A30DC" w:rsidRDefault="00856A2E" w:rsidP="00176C81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6" w:name="_Toc39141648"/>
      <w:r w:rsidRPr="000A30DC">
        <w:rPr>
          <w:rFonts w:ascii="Times New Roman" w:eastAsia="Calibri" w:hAnsi="Times New Roman" w:cs="Times New Roman"/>
          <w:color w:val="000000" w:themeColor="text1"/>
        </w:rPr>
        <w:lastRenderedPageBreak/>
        <w:t>Налогооблагаемая</w:t>
      </w:r>
      <w:r w:rsidR="00D36A5E" w:rsidRPr="000A30DC">
        <w:rPr>
          <w:rFonts w:ascii="Times New Roman" w:eastAsia="Calibri" w:hAnsi="Times New Roman" w:cs="Times New Roman"/>
          <w:color w:val="000000" w:themeColor="text1"/>
        </w:rPr>
        <w:t xml:space="preserve"> баз</w:t>
      </w:r>
      <w:bookmarkEnd w:id="6"/>
      <w:r w:rsidRPr="000A30DC">
        <w:rPr>
          <w:rFonts w:ascii="Times New Roman" w:eastAsia="Calibri" w:hAnsi="Times New Roman" w:cs="Times New Roman"/>
          <w:color w:val="000000" w:themeColor="text1"/>
        </w:rPr>
        <w:t>а</w:t>
      </w:r>
    </w:p>
    <w:p w:rsidR="00D36A5E" w:rsidRPr="000A30DC" w:rsidRDefault="00D36A5E" w:rsidP="00D36A5E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Показатель доли площади земельных участков, являющихся объектами налогообложения, в общей площади земель Находкинского город</w:t>
      </w:r>
      <w:r w:rsidR="00C11F5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округа увеличился с 49,754% в 2021 году до 50,873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 в 202</w:t>
      </w:r>
      <w:r w:rsidR="00C11F5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году. Площадь земельных участков, об</w:t>
      </w:r>
      <w:r w:rsidR="001D51F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лагаемых земельным налогом, уменьшилась с 14 303,8</w:t>
      </w:r>
      <w:r w:rsidR="00E5457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 в 202</w:t>
      </w:r>
      <w:r w:rsidR="001D51F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году до 13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1D51F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717,5</w:t>
      </w:r>
      <w:r w:rsidR="00E5457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 в 202</w:t>
      </w:r>
      <w:r w:rsidR="001D51F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5457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(95,9</w:t>
      </w:r>
      <w:r w:rsidR="00856A2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 к 2021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году). </w:t>
      </w:r>
    </w:p>
    <w:p w:rsidR="00E938C0" w:rsidRPr="000A30DC" w:rsidRDefault="00E938C0" w:rsidP="00E938C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заключено 377 договоров аренды земельных участков и 206 договоров купли-продажи земельных участков, 31 соглашение о перераспределении земельных участков.</w:t>
      </w:r>
    </w:p>
    <w:p w:rsidR="009F4590" w:rsidRPr="000A30DC" w:rsidRDefault="009F4590" w:rsidP="00D36A5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состоялись 38 аукционов на право заключения договоров аренды земельных участков, находящихся в государственной или муниципальной собственности (размер ежегодной арендной платы) площадью земельных участков 143,4 тыс. кв. м. на сумму 40,5 млн. руб. при начальной цене 1,4 млн. руб.</w:t>
      </w:r>
    </w:p>
    <w:p w:rsidR="00D36A5E" w:rsidRPr="000A30DC" w:rsidRDefault="00A526EE" w:rsidP="00D36A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Поставлено на государственный кадастровый учет и зарегистрировано право собственности в установленном законом порядке на 156 объектов муниципального имущества.</w:t>
      </w:r>
    </w:p>
    <w:p w:rsidR="00D36A5E" w:rsidRPr="000A30DC" w:rsidRDefault="00D36A5E" w:rsidP="00176C81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7" w:name="_Toc39141649"/>
      <w:r w:rsidRPr="000A30DC">
        <w:rPr>
          <w:rFonts w:ascii="Times New Roman" w:eastAsia="Calibri" w:hAnsi="Times New Roman" w:cs="Times New Roman"/>
          <w:color w:val="000000" w:themeColor="text1"/>
        </w:rPr>
        <w:t>Благоустройство и ремонт дорог</w:t>
      </w:r>
      <w:bookmarkEnd w:id="7"/>
    </w:p>
    <w:p w:rsidR="00D36A5E" w:rsidRPr="000A30DC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Общая протяженность автомобильных дорог по Находкинскому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городскому округу </w:t>
      </w:r>
      <w:proofErr w:type="gramStart"/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на конец</w:t>
      </w:r>
      <w:proofErr w:type="gramEnd"/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2022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года составила 445,4 км, из которых 220,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1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км не отвечали н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ормативным требованиям, или 49,42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% (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2021 году – 49,6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. За 2022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год д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анный показатель снизился на 0,18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%. На ближайшие 3 года планируется </w:t>
      </w:r>
      <w:r w:rsidR="00524820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поддержание 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значения данного показателя.</w:t>
      </w:r>
    </w:p>
    <w:p w:rsidR="00D36A5E" w:rsidRPr="000A30DC" w:rsidRDefault="00524820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В 2022 году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на ремонт дорог общего пользования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местного значения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 Находкинского гор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одского округа израсходовано 207,7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val="en-US" w:eastAsia="ru-RU"/>
        </w:rPr>
        <w:t> 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млн. рублей, из н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их сре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дств кр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аевого бюджета – 200,00 млн. рублей и 7,7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val="en-US" w:eastAsia="ru-RU"/>
        </w:rPr>
        <w:t> 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 xml:space="preserve">млн. рублей 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noBreakHyphen/>
        <w:t xml:space="preserve"> 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местного бюджета.</w:t>
      </w:r>
    </w:p>
    <w:p w:rsidR="00D36A5E" w:rsidRPr="000A30DC" w:rsidRDefault="00D36A5E" w:rsidP="00D36A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Работы по ремонту дорог выполнялись в рамках муниципальной программы «Осуществление дорожной деятельности в отношении автомобильных дорог местного значения Находкинского городского окру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га» на 2018 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годы. </w:t>
      </w:r>
    </w:p>
    <w:p w:rsidR="00524820" w:rsidRPr="000A30DC" w:rsidRDefault="00524820" w:rsidP="005248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отчетном 2022 году в Находкинском городском округе комплексно отремонтировано 6 км автомобильных дорог местного значения.</w:t>
      </w:r>
    </w:p>
    <w:p w:rsidR="00524820" w:rsidRPr="000A30DC" w:rsidRDefault="00524820" w:rsidP="005248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рамка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ремонта дорог уложено 78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асфальтобетонного покрытия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проезжей части дорог с заменой дорожных бортовых камней протяжен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ностью 5,9 км, восстановлено 12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</w:t>
      </w:r>
      <w:r w:rsidR="00147C44" w:rsidRPr="000A30DC">
        <w:rPr>
          <w:color w:val="000000" w:themeColor="text1"/>
          <w:lang w:val="en-US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тротуаров, восстановлено 0,9</w:t>
      </w:r>
      <w:r w:rsidR="00147C4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км ливнеотвода.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Общая сумм</w:t>
      </w:r>
      <w:r w:rsidR="00B20B7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денежных средств, выделенных и израсходованных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ремонт дворовых территорий на территории Находки</w:t>
      </w:r>
      <w:r w:rsidR="00B20B74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нского городского округа, в 2022 году составила 14,06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млн. рублей.</w:t>
      </w:r>
    </w:p>
    <w:p w:rsidR="00B20B74" w:rsidRPr="000A30DC" w:rsidRDefault="00B20B74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отчетном 2022 году в Находкинском городском округе в рамках данного мероприятия комплексно отремонтировано 5 объектов: площадь обновленного покрытия по все</w:t>
      </w:r>
      <w:r w:rsidR="009B4D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объектам составила 4,4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0B74" w:rsidRPr="000A30DC" w:rsidRDefault="00B20B74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выполнен ямочный ремонт дворовых проездов и проездов к многоквартирным домам локальными участками на 23 объектах, общая площадь восстано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вленного покрытия составила 3,1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</w:t>
      </w:r>
      <w:r w:rsidR="00255A9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Все населенные пункты Находкинского городского округа охвачены регулярным автобусным движением. Расстояние от населенных пунктов Находкинского городского округа до остановок маршрутной сети не превышает нормативных значений. </w:t>
      </w:r>
    </w:p>
    <w:p w:rsidR="004E5B5F" w:rsidRPr="000A30DC" w:rsidRDefault="00D36A5E" w:rsidP="004E5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bookmarkStart w:id="8" w:name="_Toc39141650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Находк</w:t>
      </w:r>
      <w:r w:rsidR="004E5B5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инского городского округа в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4 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автотранспортных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предприятия осуществляли регулярные пассажирские перевозки. </w:t>
      </w:r>
      <w:r w:rsidR="004E5B5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Действующие маршруты осуществляются по 19 направлениям, из них </w:t>
      </w:r>
      <w:r w:rsidR="004E5B5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  <w:t xml:space="preserve"> 5  сезонных. Ежедневно на линию выходит 99 транспортных единиц, оснащенных системой безналичной оплаты за проезд.</w:t>
      </w:r>
    </w:p>
    <w:p w:rsidR="004E5B5F" w:rsidRPr="000A30DC" w:rsidRDefault="004E5B5F" w:rsidP="004E5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>Общественным городским автотранспортом в 202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 xml:space="preserve"> году было перевезено 4,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>миллионов пассажиров, продано 6472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>социальных билетов для льготной категории граждан федерального и регионального уровн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  <w:t>.</w:t>
      </w:r>
    </w:p>
    <w:p w:rsidR="00D36A5E" w:rsidRPr="000A30DC" w:rsidRDefault="00D36A5E" w:rsidP="00201EB4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A30DC">
        <w:rPr>
          <w:rFonts w:ascii="Times New Roman" w:eastAsia="Calibri" w:hAnsi="Times New Roman" w:cs="Times New Roman"/>
          <w:color w:val="000000" w:themeColor="text1"/>
        </w:rPr>
        <w:t>Дошкольное образование</w:t>
      </w:r>
      <w:bookmarkEnd w:id="8"/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bookmarkStart w:id="9" w:name="bookmark3"/>
      <w:bookmarkStart w:id="10" w:name="_Toc39141652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В 2022 году сеть муниципальных бюджетных дошкольных образовательных учреждений (далее – МБДОУ) была представлена 36 детскими садами. </w:t>
      </w:r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Во исполнение</w:t>
      </w:r>
      <w:r w:rsidRPr="000A30DC">
        <w:rPr>
          <w:rFonts w:ascii="Calibri" w:eastAsia="Arial Unicode MS" w:hAnsi="Calibri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Указа Президента Российской Федерации Путина В.В. от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07.05.2018 № 204 «О национальных целях и стратегических задачах развития Российской Федера</w:t>
      </w:r>
      <w:r w:rsidR="00FE5F50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ции на период до 2024 года» (п.</w:t>
      </w:r>
      <w:r w:rsidR="00FE5F50" w:rsidRPr="000A30DC">
        <w:rPr>
          <w:color w:val="000000" w:themeColor="text1"/>
          <w:lang w:val="en-US"/>
        </w:rPr>
        <w:t> </w:t>
      </w:r>
      <w:r w:rsidR="00FE5F50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FE5F50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б) к 2021</w:t>
      </w:r>
      <w:r w:rsidR="00FE5F50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году необходимо достигнуть 100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% доступности дошкольного образования для детей в возрасте до 3-х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lastRenderedPageBreak/>
        <w:t>лет. В 2020 году значение показателя достигнуто, в 2022 году в Находкинском городском округе сохранилось достигнутое в 2020 году значение показателя.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Показатель «Доля детей в возрасте 1-6 лет, получающих дошкольную образовательную услугу и (или) услуги по их содержанию в муниципальных образовательных учреждениях в общей численности детей в возрасте 1-6 лет»</w:t>
      </w:r>
      <w:r w:rsidRPr="000A30DC">
        <w:rPr>
          <w:rFonts w:ascii="Times New Roman" w:eastAsia="Arial Unicode MS" w:hAnsi="Times New Roman" w:cs="Times New Roman"/>
          <w:b/>
          <w:i/>
          <w:color w:val="000000" w:themeColor="text1"/>
          <w:sz w:val="26"/>
          <w:szCs w:val="26"/>
          <w:lang w:eastAsia="ru-RU"/>
        </w:rPr>
        <w:t>.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Расчет показателя: 7385/9636*100% = 77 %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2022 году дошкольную образовательную услугу получали 7</w:t>
      </w:r>
      <w:r w:rsidR="0092447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385 детей в МБДОУ Находкинского городского округа. 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2022 г. уменьшилась общая численность детей в возрасте 1-6 лет:</w:t>
      </w:r>
      <w:r w:rsidRPr="000A30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92447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067 – 2019 год, 10</w:t>
      </w:r>
      <w:r w:rsidR="0092447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575 – 2020 год, 10</w:t>
      </w:r>
      <w:r w:rsidR="0092447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118 – 2021 год, 9</w:t>
      </w:r>
      <w:r w:rsidR="0092447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636 – 2022 год.</w:t>
      </w:r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Показатель «Доля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лет».</w:t>
      </w:r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Расчет показателя: </w:t>
      </w:r>
      <w:r w:rsidRPr="000A30DC">
        <w:rPr>
          <w:rFonts w:ascii="Times New Roman" w:eastAsia="Arial Unicode MS" w:hAnsi="Times New Roman" w:cs="Arial Unicode MS"/>
          <w:color w:val="000000" w:themeColor="text1"/>
          <w:sz w:val="26"/>
          <w:szCs w:val="26"/>
          <w:lang w:eastAsia="ru-RU"/>
        </w:rPr>
        <w:t>1684/9636*100%=17%</w:t>
      </w:r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Arial Unicode MS"/>
          <w:color w:val="000000" w:themeColor="text1"/>
          <w:sz w:val="26"/>
          <w:szCs w:val="26"/>
          <w:lang w:eastAsia="ru-RU"/>
        </w:rPr>
        <w:t>Данная очередь является актуальной, эти дети претендуют на место в саду в 2023-2024 учебном году. Анализируя возможности детских садов принять детей на указанный учебный год, все дети будут обеспечены местом в детском саду.</w:t>
      </w:r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2022 г. уменьшилась общая численность детей в возрасте 1-6 лет: 11</w:t>
      </w:r>
      <w:r w:rsidR="00F4005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067 – 2019 год, 10</w:t>
      </w:r>
      <w:r w:rsidR="00F4005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575 – 2020 год, 10</w:t>
      </w:r>
      <w:r w:rsidR="00F4005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118 – 2021 год, 9</w:t>
      </w:r>
      <w:r w:rsidR="00F4005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636 – 2022 год.</w:t>
      </w:r>
    </w:p>
    <w:p w:rsidR="00F060CF" w:rsidRPr="000A30DC" w:rsidRDefault="00F060CF" w:rsidP="00F060CF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Показатель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учреждений».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 (0+33)/36 *100%=92%, где: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F661D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муниципальных дошкольных образовательных учреждений, имеющие здания, находящиеся в аварийном состоянии;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33 </w:t>
      </w:r>
      <w:r w:rsidR="00F661D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муниципальных дошкольных образовательных учреждений, здания которых требуют капитального ремонта;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36 – число муниципальных дошкольных образовательных учреждений в 2022 году.</w:t>
      </w:r>
    </w:p>
    <w:p w:rsidR="00F060CF" w:rsidRPr="000A30DC" w:rsidRDefault="00F060CF" w:rsidP="00F060CF">
      <w:pPr>
        <w:spacing w:after="0" w:line="360" w:lineRule="auto"/>
        <w:ind w:right="60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Высокий процент дошкольных образовательных учреждений, требующих капитального ремонта, объясняется тем, что большинство детских садов города построены в период 60х-80х годов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XX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века, здания имеют высокий процент износа и требуют капитального ремонта.</w:t>
      </w:r>
    </w:p>
    <w:p w:rsidR="00D36A5E" w:rsidRPr="000A30DC" w:rsidRDefault="00D36A5E" w:rsidP="00201EB4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A30DC">
        <w:rPr>
          <w:rFonts w:ascii="Times New Roman" w:eastAsia="Calibri" w:hAnsi="Times New Roman" w:cs="Times New Roman"/>
          <w:color w:val="000000" w:themeColor="text1"/>
        </w:rPr>
        <w:lastRenderedPageBreak/>
        <w:t>Общее и дополнительное образование</w:t>
      </w:r>
      <w:bookmarkEnd w:id="9"/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2022 году в Находкинском городском округе функционировало 23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муниципальных бюджетных и автономных общеобразовательных учреждения (далее – МБОУ и МАОУ соответственно) и 5 учреждений дополнительного образовани</w:t>
      </w:r>
      <w:r w:rsidR="000C4338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я разной направленности (далее </w:t>
      </w:r>
      <w:r w:rsidR="000C4338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noBreakHyphen/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МБУ </w:t>
      </w: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</w:t>
      </w:r>
      <w:proofErr w:type="gramEnd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Показатели эффективности деятельности системы общего образования Находкинского городского округа в 2022 году говорят о необходимости дальнейшего повышения качества образования в системе общего образования и расширения услуг дополнительного образования детей.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 (738-731)/738*100%=0,95, где: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738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</w:t>
      </w: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731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</w:t>
      </w: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обучения, получившие аттестат 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 среднем (полном) образовании.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 (русский язык): 737/737*100%=100%, где: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737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выпускники муниципальных общеобразовательных учреждений, сдавших единый государственный экзамен по русскому языку. 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737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выпускников муниципальных общеобразовательных учреждений, сдававших единый государственный экзамен по русскому языку.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 (математика): 730/737*100%=99,1%, где: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730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выпускники муниципальных общеобразовательных учреждений, сдавших единый государственный экзамен по математике. 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737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выпускников муниципальных общеобразовательных учреждений, сдававших единый государственный экзамен по математике.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 16</w:t>
      </w:r>
      <w:r w:rsidR="00F8107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210/20</w:t>
      </w:r>
      <w:r w:rsidR="00F8107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787*100%=78%, где: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F8107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210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F8107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787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общей численности детей данной возрастной группы. Данная численность приведена из приложенной к отчетной форме по эффективности деятельности органов местного самоуправления статистической информации. 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Однако при составлении других отчетов использовалась иная численность детей в возрасте от 5 до 18 лет (20 649), которая доведена до управления образования администрации Находкинского городского округа Региональным модельным центром Приморского края для использования при расчетах охвата детей в возрасте от 5 до 18 лет дополнительным образованием. Таким образом, при использовании сведений Регионального модельного центра Приморского края охват детей в возрасте от 5 до 18 лет дополнительным образованием составляет: 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00519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106/20</w:t>
      </w:r>
      <w:r w:rsidR="0000519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649*100%=78,5%.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Доля детей первой и второй групп здоровья в общей численности обучающихся в муниципальных общеобразовательных учреждениях.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 (4</w:t>
      </w:r>
      <w:r w:rsidR="00F019F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789+10</w:t>
      </w:r>
      <w:r w:rsidR="00F019F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981)/17</w:t>
      </w:r>
      <w:r w:rsidR="00F019F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330*100%= 91%, где: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F019F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789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детей первой группы здоровья обучающихся в муниципальных общеобразовательных учреждениях;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F019F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981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детей второй группы здоровья обучающихся в муниципальных общеобразовательных учреждениях;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F019F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330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общее число осмотренных детей обучающихся в муниципальных общеобразовательных учреждениях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Согласно информации КГБУЗ «Находкинская городская больница», доля детей, отнесенных к первой и второй группам здоровья в общей </w:t>
      </w: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численности</w:t>
      </w:r>
      <w:proofErr w:type="gramEnd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обучающихся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lastRenderedPageBreak/>
        <w:t>в МБОУ Находкинского городского округа, в 2022 году составляет 91%. Изменение значения показателя объясняется ежегодным изменением контингента.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 (1+18)/23 *100%=82,6%, где:</w:t>
      </w:r>
    </w:p>
    <w:p w:rsidR="00F54587" w:rsidRPr="000A30DC" w:rsidRDefault="00AB5A61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 –</w:t>
      </w:r>
      <w:r w:rsidR="00F5458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муниципальных общеобразовательных учреждений, имеющие здания, находящиеся в аварийном состоянии;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18 </w:t>
      </w:r>
      <w:r w:rsidR="00AB5A6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число муниципальных общеобразовательных учреждений, здания которых требуют капитального ремонта;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23 – число муниципальных общеобразовательных учреждений.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Информация о значении отдельных показателей взята из формы № ОО-2 согласно методическим рекомендациям.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Высокий процент общеобразовательных учреждений, требующих капитального ремонта, объясняется тем, что большинство школ города построены в период 50х-70х годов XX века, здания имеют высокий процент износа и требуют капитального ремонта. Увеличение значения показателя вызвано также тем, что количество муниципальных общеобразовательных учреждений уменьшилось в связи с присоединением МБОУ «СОШ № 17» НГО к МБОУ «СОШ № 10 с углубленным изучением английского языка» НГО.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Интегральный показатель, характеризующий качество инфраструктуры (материально-технической и технологической базы) обучения, а также реализации требований федеральных государственных образовательных стандартов к условиям обучения, является среднеарифметическим отдельных 16-ти относительных показателей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(95,7+65,2+100+100+22+95,7+100+100+100+100+100+100+100+100+52,2+39)/16</w:t>
      </w:r>
      <w:r w:rsidR="00AF4EA5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= 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85,6%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Информация о значении отдельных показателей взята из формы № ОО-2 согласно методическим рекомендациям.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численности</w:t>
      </w:r>
      <w:proofErr w:type="gramEnd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обучающихся в муниципальных общеобразовательных учреждениях.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</w:t>
      </w:r>
      <w:r w:rsidR="00446016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счет показателя: 2</w:t>
      </w:r>
      <w:r w:rsidR="004C50F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46016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191/17</w:t>
      </w:r>
      <w:r w:rsidR="004C50F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46016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330*100%=12,6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%, где:</w:t>
      </w:r>
    </w:p>
    <w:p w:rsidR="00F54587" w:rsidRPr="000A30DC" w:rsidRDefault="00323018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C50F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191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F5458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общая численность обучающихся в муниципальных общеобразовательных учреждениях, занимающихся во вторую смену;</w:t>
      </w:r>
      <w:proofErr w:type="gramEnd"/>
    </w:p>
    <w:p w:rsidR="00F54587" w:rsidRPr="000A30DC" w:rsidRDefault="00323018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4C50F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330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F5458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общая численность обучающихся в муниципальных общеобразовательных учреждениях.</w:t>
      </w:r>
      <w:proofErr w:type="gramEnd"/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численности</w:t>
      </w:r>
      <w:proofErr w:type="gramEnd"/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обучающихся в муниципальных общеобразовательны</w:t>
      </w:r>
      <w:r w:rsidR="00446016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х учреждениях, увеличилась с 12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% в 2021 году д</w:t>
      </w:r>
      <w:r w:rsidR="00446016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 12,6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% в 2022 году. Это вызвано увеличением общей численности обучающихся в муниципальных общеобразовательных учреждениях,  прекращением функционирования здания МАОУ «СОШ №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7 «Эдельвейс» НГО по адресу: г.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Находка, ул. Шевченко, 1, а также увеличением численности жителей микрорайонов МЖК.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Расчет показателя: 1</w:t>
      </w:r>
      <w:r w:rsidR="00F3220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228</w:t>
      </w:r>
      <w:r w:rsidR="00F3220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229</w:t>
      </w:r>
      <w:r w:rsidR="00F3220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321,47/17</w:t>
      </w:r>
      <w:r w:rsidR="00F3220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330=70</w:t>
      </w:r>
      <w:r w:rsidR="00027103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873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увеличились с </w:t>
      </w:r>
      <w:r w:rsidR="00027103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66 284 рублей в 2021 году до 70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873 рублей в 2022 году. 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Независимая оценка качества условий оказания услуг муниципальными организациями в сфере образования.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опроса в АИС «Сетевой город. Образование» в декабре 2022г. степень удовлетворенности населения Находкинского городского округа качеством предоставляемых </w:t>
      </w:r>
      <w:r w:rsidR="00F50F63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образовательных услуг составила</w:t>
      </w:r>
    </w:p>
    <w:p w:rsidR="00F54587" w:rsidRPr="000A30DC" w:rsidRDefault="00446016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B49C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519/9</w:t>
      </w:r>
      <w:r w:rsidR="002B49C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541*100%=78,8</w:t>
      </w:r>
      <w:r w:rsidR="00F5458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%, где: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B49C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519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населения, удовлетворенного качеством предоставляемых образовательных услуг;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2B49C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541 </w:t>
      </w:r>
      <w:r w:rsidR="005C3391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общая численность населения, принявшего участие в  опросе.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Принимаемые в 2022 году меры повлекли следующие позитивные изменения в муниципальной образовательной системе Находкинского городского округа: </w:t>
      </w:r>
    </w:p>
    <w:p w:rsidR="00F54587" w:rsidRPr="000A30DC" w:rsidRDefault="005C3391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F54587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улучшение условий пребывания обучающихся в образовательных учреждениях Находкинского городского округа;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- начал функционировать IT-куб;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- расширение количества профильных классов, внедрение нового профиля;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- повысилась заработная плата педагогических работников образовательных учреждений округа.</w:t>
      </w:r>
    </w:p>
    <w:p w:rsidR="00F54587" w:rsidRPr="000A30DC" w:rsidRDefault="00F54587" w:rsidP="00F54587">
      <w:pPr>
        <w:spacing w:after="0" w:line="360" w:lineRule="auto"/>
        <w:ind w:right="62" w:firstLine="567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На 2023-2024 годы в рамках муниципальной программы «Развитие образования в Находкинском городском округе на 2020-2024 гг.» запланированы мероприятия по ремонту и оснащению современным оборудованием, Интернетом, обеспечению безопасности, в том числе противопожарной и антитеррористическо</w:t>
      </w:r>
      <w:r w:rsidR="00F50F63"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й, образовательных учреждений.</w:t>
      </w:r>
    </w:p>
    <w:p w:rsidR="00D36A5E" w:rsidRPr="000A30DC" w:rsidRDefault="00D36A5E" w:rsidP="0033183C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A30DC">
        <w:rPr>
          <w:rFonts w:ascii="Times New Roman" w:eastAsia="Calibri" w:hAnsi="Times New Roman" w:cs="Times New Roman"/>
          <w:color w:val="000000" w:themeColor="text1"/>
        </w:rPr>
        <w:t>Культура</w:t>
      </w:r>
      <w:bookmarkEnd w:id="10"/>
    </w:p>
    <w:p w:rsidR="00FA64E6" w:rsidRPr="000A30DC" w:rsidRDefault="00FA64E6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 году среднемесячная номинальная начисленная заработная плата работников муниципальных учреждений культуры и</w:t>
      </w:r>
      <w:r w:rsidR="00F50F6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искусства составила </w:t>
      </w:r>
      <w:r w:rsidR="004D1B1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</w:t>
      </w:r>
      <w:r w:rsidR="00F50F6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414,00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руб., (10,2%) больше в сравнении с 2021 годом. </w:t>
      </w:r>
    </w:p>
    <w:p w:rsidR="00FA64E6" w:rsidRPr="000A30DC" w:rsidRDefault="00FA64E6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Рост средней заработной платы произошел в результате увеличения целевого показателя средней заработной платы,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соответствующему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средней заработной плате по экономике в Приморском крае.</w:t>
      </w:r>
    </w:p>
    <w:p w:rsidR="00F97D2B" w:rsidRPr="000A30DC" w:rsidRDefault="00F97D2B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конец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Находкинском городском округе действовало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6A5E" w:rsidRPr="000A30DC" w:rsidRDefault="00F97D2B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— 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 учреждений клубного типа. Фактическая обеспеченность клубами и учреждениями клубного типа в 2021 году составляла 100%.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расчете уровня фактической обеспеченности учреждениями клубного 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типа использовался норматив 15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(усредненный показатель) посадочн</w:t>
      </w:r>
      <w:r w:rsidR="00F97D2B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 мест на 1 тысячу жителей: 138 806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</w:t>
      </w:r>
      <w:r w:rsidR="00F50F6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теле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/ 1 000 х 15</w:t>
      </w:r>
      <w:r w:rsidR="00F50F6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ед. = 2</w:t>
      </w:r>
      <w:r w:rsidR="00F50F6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082</w:t>
      </w:r>
      <w:r w:rsidR="00F50F6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ед.</w:t>
      </w:r>
    </w:p>
    <w:p w:rsidR="00D36A5E" w:rsidRPr="000A30DC" w:rsidRDefault="00B42F28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(фактическ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 количество посадочных мест)/2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082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(нормативное количес</w:t>
      </w:r>
      <w:r w:rsidR="00550AC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тво посадочных мест) х 100 = 97,4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%;</w:t>
      </w:r>
    </w:p>
    <w:p w:rsidR="00D36A5E" w:rsidRPr="000A30DC" w:rsidRDefault="00D03316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12 общедоступных библиотек. Уровень фактической обеспеченности библиотеками соответствует 100% от нормативной потребности.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 расчете уровня фактической обеспеченности библиотеками использовался норматив 20 000 жителей на 1 общедоступную библиотеку: </w:t>
      </w:r>
    </w:p>
    <w:p w:rsidR="00D36A5E" w:rsidRPr="000A30DC" w:rsidRDefault="006535F3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138 806 жителей / 20 000 = 6,9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10 000 д</w:t>
      </w:r>
      <w:r w:rsidR="006535F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етей на 1 детскую библиотеку: 20 787 детей / 10 000 = 2,1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Нормативное количес</w:t>
      </w:r>
      <w:r w:rsidR="006535F3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тво библиотек: 6,9 + 2,1 = 9,0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ед. Фактическое количество библиотек – 12 ед.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D36A5E" w:rsidRPr="000A30DC" w:rsidRDefault="001A623C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 </w:t>
      </w:r>
      <w:proofErr w:type="gramStart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парковых</w:t>
      </w:r>
      <w:proofErr w:type="gramEnd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территории. Уровень фактической обеспеченности парками культуры и отдыха в Находкинском городском округе составлял 40% от нормативной потребности.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расчете уровня фактической обеспеченности парками культуры и отдыха использовался н</w:t>
      </w:r>
      <w:r w:rsidR="001A623C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орматив 1 на 30 000 жителей: 138 806 жителей/30 000= 4,6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ед. ≈ 5 ед.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(фактическое количество парков)/5 (нормативное количество парков) х 100 = 40%.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Показатель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</w:t>
      </w:r>
      <w:r w:rsidR="009920BB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ьных учреждений культуры» в 2022 году составил 41%, что на 10,231% меньше, чем в 2021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Были проведены работы по изготовлению проектно-сметной документации на капитальный ремонт следующих учреждений: </w:t>
      </w:r>
      <w:r w:rsidR="0093043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МАУК «ДК им. Ю. Гагарина» НГО (капитальный ремонт сцены и сценического оборудования), МАУК «</w:t>
      </w:r>
      <w:proofErr w:type="spellStart"/>
      <w:r w:rsidR="0093043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Ливадийский</w:t>
      </w:r>
      <w:proofErr w:type="spellEnd"/>
      <w:r w:rsidR="0093043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ДК» (капитальный ремонт сцены и сценического оборудования),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МБУК «Центральная библиотечная система» </w:t>
      </w:r>
      <w:r w:rsidR="0093043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НГО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(капитальный ремонт внутренних помещений</w:t>
      </w:r>
      <w:r w:rsidR="0093043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библиотеки № 4 и библиотеки № 15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</w:t>
      </w:r>
      <w:r w:rsidR="0093043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МАУК «Международный морской клуб» НГО (капитальный ремонт крыши).</w:t>
      </w:r>
    </w:p>
    <w:p w:rsidR="00D36A5E" w:rsidRPr="000A30DC" w:rsidRDefault="00203153" w:rsidP="00D3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Расчет доли объема капитального ремонта, который требуют здания учреждений культуры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D36A5E" w:rsidRPr="000A30DC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МБУК «Музейно-выставочн</w:t>
      </w:r>
      <w:r w:rsidR="00BD5B8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 центр г. Находка» – 40%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6A5E" w:rsidRPr="000A30DC" w:rsidRDefault="00D36A5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МБУК «ГКГ </w:t>
      </w:r>
      <w:r w:rsidR="00BD5B8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«Вернисаж г. Находка» – 70%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6A5E" w:rsidRPr="000A30DC" w:rsidRDefault="00BD5B8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МАУК «Дом молодежи» НГО – 30%</w:t>
      </w:r>
    </w:p>
    <w:p w:rsidR="00D36A5E" w:rsidRPr="000A30DC" w:rsidRDefault="00BD5B8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МАУК «Международн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 морской клуб» НГО – 40%</w:t>
      </w:r>
    </w:p>
    <w:p w:rsidR="00D36A5E" w:rsidRPr="000A30DC" w:rsidRDefault="00BD5B8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Клубное формирование «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Приморочка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– 46%</w:t>
      </w:r>
    </w:p>
    <w:p w:rsidR="00D36A5E" w:rsidRPr="000A30DC" w:rsidRDefault="00BD5B8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С/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МБУК «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Ливадийского</w:t>
      </w:r>
      <w:proofErr w:type="spellEnd"/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ДК»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НГО «Клуб села Анна» – 100%</w:t>
      </w:r>
    </w:p>
    <w:p w:rsidR="00D36A5E" w:rsidRPr="000A30DC" w:rsidRDefault="00BD5B8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7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МБУК «Театр кукол г. Находка»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–84%</w:t>
      </w:r>
    </w:p>
    <w:p w:rsidR="00BD5B8E" w:rsidRPr="000A30DC" w:rsidRDefault="00BD5B8E" w:rsidP="00D36A5E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</w:t>
      </w:r>
      <w:r w:rsidR="00B74B59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 410%/10 учреждений = 41%</w:t>
      </w:r>
    </w:p>
    <w:p w:rsidR="00D36A5E" w:rsidRPr="000A30DC" w:rsidRDefault="00E40685" w:rsidP="00D36A5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</w:t>
      </w:r>
      <w:r w:rsidR="00F7655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 объектов культурного наследия, зарегистрированных в муни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ципальной собственности, 14 </w:t>
      </w:r>
      <w:r w:rsidR="00F7655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находятся в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удовлетворительном состоянии</w:t>
      </w:r>
      <w:r w:rsidR="00F7655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Показатель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в 2022 году составил 2 / 16 х 100 = 12,58%.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6A5E" w:rsidRPr="000A30DC" w:rsidRDefault="00D36A5E" w:rsidP="0033183C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11" w:name="_Toc39141653"/>
      <w:r w:rsidRPr="000A30DC">
        <w:rPr>
          <w:rFonts w:ascii="Times New Roman" w:eastAsia="Calibri" w:hAnsi="Times New Roman" w:cs="Times New Roman"/>
          <w:color w:val="000000" w:themeColor="text1"/>
        </w:rPr>
        <w:t>Физическая культура и спорт</w:t>
      </w:r>
      <w:bookmarkEnd w:id="11"/>
    </w:p>
    <w:p w:rsidR="00633799" w:rsidRPr="000A30DC" w:rsidRDefault="00633799" w:rsidP="00633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2" w:name="_Toc39141654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целях обеспечения условий для развития физической культуры и массового спорта, проведения официальных физкультурно-оздоровительных и спортивных мероприятий, в 2022 году выполнялись мероприятия муниципальной программы 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Развитие физической культуры, школьного спорта и массового спорта в Находкинском городском округе» на 2021 - 2025 годы.</w:t>
      </w:r>
    </w:p>
    <w:p w:rsidR="00633799" w:rsidRPr="000A30DC" w:rsidRDefault="00633799" w:rsidP="00633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2022 году численность населения, систематически занимающегося физкультурой и спортом в возрасте от 3 до 79 лет, </w:t>
      </w:r>
      <w:r w:rsidR="00497212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увеличилась и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составила 65 996 человек (в 2021 году – 61 224 человек). Численность населения этого воз</w:t>
      </w:r>
      <w:r w:rsidR="00D27C2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раста в 2022 году составила 132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697 человек (в 2021 году – 139 095 человек). </w:t>
      </w:r>
    </w:p>
    <w:p w:rsidR="00633799" w:rsidRPr="000A30DC" w:rsidRDefault="00633799" w:rsidP="00633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Показатель «Доля населения, систематически занимающегося физической культурой и спортом» увеличился на 4,4%. Рост показателя произошел за счет увеличения численности населения, систематически занимающег</w:t>
      </w:r>
      <w:r w:rsidR="00D27C2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ося физкультурой и спортом на 4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772 человек, по сравнению с 2021 годом, увеличением числа спортивных объектов и роста их пропускной способности и сокращения численности населения 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Находкинского городского округа. </w:t>
      </w:r>
    </w:p>
    <w:p w:rsidR="00633799" w:rsidRPr="000A30DC" w:rsidRDefault="00633799" w:rsidP="0063379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2022 году для привлечения 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населения Находкинского городского округа, в том числе учащихся общеобразовательных учреждений, маломобильных групп населения, к организованным занятиям физической культурой и спортом были выполнены следующие мероприятия:</w:t>
      </w:r>
    </w:p>
    <w:p w:rsidR="00633799" w:rsidRPr="000A30DC" w:rsidRDefault="00633799" w:rsidP="006337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Проведено 108 физкультурных и спорт</w:t>
      </w:r>
      <w:r w:rsidR="00D27C2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ивных мероприятий с участием 11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672 человек.</w:t>
      </w:r>
    </w:p>
    <w:p w:rsidR="00633799" w:rsidRPr="000A30DC" w:rsidRDefault="00633799" w:rsidP="0063379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Направлены для участия в краевых и межмуниципальных физкультурных и спортивных мероприятиях спортсмены, спортивные сборные команды и лица их сопровождающие – 55 выездов (689 спортсменов), в 2021 году было проведено 43 выезда (485 спортсмена).</w:t>
      </w:r>
    </w:p>
    <w:p w:rsidR="00633799" w:rsidRPr="000A30DC" w:rsidRDefault="00633799" w:rsidP="00633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отчетный период силами муниципального автономного учреждения «Физкультура и здоровье» Находкинского городского округа было проведено 3 124 занятия физкультурно-спортивной направленности по месту проживания граждан, в </w:t>
      </w:r>
      <w:r w:rsidR="00FE5B30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мероприятиях приняло участие 32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507 человек, в 2021 г</w:t>
      </w:r>
      <w:r w:rsidR="00FE5B30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оду 3 103 занятий с участием 34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670 человек. </w:t>
      </w:r>
    </w:p>
    <w:p w:rsidR="00633799" w:rsidRPr="000A30DC" w:rsidRDefault="00633799" w:rsidP="00633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зимний сезон 2022 года на территории Находкинского городского округа проводилась заливка 7 хоккейных коробок и катков.</w:t>
      </w:r>
    </w:p>
    <w:p w:rsidR="00633799" w:rsidRPr="000A30DC" w:rsidRDefault="00633799" w:rsidP="00633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Центр тестирования ВФСК ГТО Находкинского городского округа в 2022 году продолжил работу по внедрению комплекса ГТО на территории Находкинского городского округа среди всех возрастных групп населения. Всего в выполнении норм ВФСК ГТО приняли участие 1 169 человек, нормы ГТО выпол</w:t>
      </w:r>
      <w:r w:rsidR="00D27C2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нили 918 человека, в 2021 году </w:t>
      </w:r>
      <w:r w:rsidR="00D27C2F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774 человек. </w:t>
      </w:r>
    </w:p>
    <w:p w:rsidR="00D36A5E" w:rsidRPr="000A30DC" w:rsidRDefault="00D36A5E" w:rsidP="00C47E39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A30DC">
        <w:rPr>
          <w:rFonts w:ascii="Times New Roman" w:eastAsia="Calibri" w:hAnsi="Times New Roman" w:cs="Times New Roman"/>
          <w:color w:val="000000" w:themeColor="text1"/>
        </w:rPr>
        <w:t>Жилищное строительство и обеспечение граждан жильем</w:t>
      </w:r>
      <w:bookmarkEnd w:id="12"/>
    </w:p>
    <w:p w:rsidR="00F14C0E" w:rsidRPr="000A30DC" w:rsidRDefault="00F14C0E" w:rsidP="00F14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2022 году на территории Находкинского городского о</w:t>
      </w:r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круга введены в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эксплуатацию </w:t>
      </w:r>
      <w:r w:rsidR="009C3E2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жилые дома общей площадью 66,3</w:t>
      </w:r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тыс. кв.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метров, </w:t>
      </w:r>
      <w:r w:rsidR="00497212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что в 1,5 раза больше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уровн</w:t>
      </w:r>
      <w:r w:rsidR="00497212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прошлого года. В том числе ввод индив</w:t>
      </w:r>
      <w:r w:rsidR="009C3E2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идуального жилья составил 35,6</w:t>
      </w:r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тыс. кв.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метров. </w:t>
      </w:r>
    </w:p>
    <w:p w:rsidR="00F14C0E" w:rsidRPr="000A30DC" w:rsidRDefault="00F14C0E" w:rsidP="00F14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Были сданы в эксплуатацию четыре многоквартирных жилых д</w:t>
      </w:r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ома, общей площадью почти 50 тыс.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</w:t>
      </w:r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м. За счет средств КРЖС построены и введены в эксплуатацию два арендных дома на улице Добролюбова (14 - 16 этажей на</w:t>
      </w:r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440 квартир, общей площадью 37 тыс. </w:t>
      </w:r>
      <w:proofErr w:type="spellStart"/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="00FE5B30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м) для работников бюджетной сферы.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З</w:t>
      </w: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начение </w:t>
      </w:r>
      <w:r w:rsidRPr="000A30DC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  <w:lang w:eastAsia="ru-RU"/>
        </w:rPr>
        <w:t>по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казателя «Общая площадь жилых помещений, приходящаяся в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сре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днем на о</w:t>
      </w:r>
      <w:r w:rsidR="00887FF8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дного жителя» увеличилась с 27</w:t>
      </w:r>
      <w:r w:rsidR="009A71D7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,0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202</w:t>
      </w:r>
      <w:r w:rsidR="00887FF8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 году до 28,</w:t>
      </w:r>
      <w:r w:rsidR="0035769E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r w:rsidR="005B75A6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году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в том числе, введенная в дейст</w:t>
      </w:r>
      <w:r w:rsidR="005B75A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вие за один год, значение увеличилось с 0,3</w:t>
      </w:r>
      <w:r w:rsidR="00960B42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2 </w:t>
      </w:r>
      <w:r w:rsidR="00A32F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2021 году до 0,5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2 </w:t>
      </w:r>
      <w:r w:rsidR="005B75A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2022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году. </w:t>
      </w:r>
    </w:p>
    <w:p w:rsidR="00D36A5E" w:rsidRPr="000A30DC" w:rsidRDefault="00D36A5E" w:rsidP="00D36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лощадь земельных участков, предоставленных для строительства, в отношении которых с даты принятия решения о предоставлении земельного участка 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или подписания протокола о результатах торгов (конкурсов, аукционов) не было получено разрешение на ввод в эксплуатацию, по объектам жил</w:t>
      </w:r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ищного строительства у</w:t>
      </w:r>
      <w:r w:rsidR="00127C03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величила</w:t>
      </w:r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сь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 </w:t>
      </w:r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65 297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0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</w:t>
      </w:r>
      <w:r w:rsidR="009860A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году до 9</w:t>
      </w:r>
      <w:r w:rsidR="00D307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9860A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307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9860A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489,3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2 </w:t>
      </w:r>
      <w:r w:rsidR="009860A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году, п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иным объек</w:t>
      </w:r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там капитального строительства </w:t>
      </w:r>
      <w:r w:rsidR="00127C03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уменьшила</w:t>
      </w:r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сь с 72 838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proofErr w:type="gramEnd"/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2021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="009860AA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до 33 363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>2</w:t>
      </w:r>
      <w:r w:rsidR="009860A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2022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</w:p>
    <w:p w:rsidR="00D36A5E" w:rsidRPr="000A30DC" w:rsidRDefault="00D36A5E" w:rsidP="00C47E39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13" w:name="_Toc39141655"/>
      <w:r w:rsidRPr="000A30DC">
        <w:rPr>
          <w:rFonts w:ascii="Times New Roman" w:eastAsia="Calibri" w:hAnsi="Times New Roman" w:cs="Times New Roman"/>
          <w:color w:val="000000" w:themeColor="text1"/>
        </w:rPr>
        <w:t>Жилищно-коммунальное хозяйство</w:t>
      </w:r>
      <w:bookmarkEnd w:id="13"/>
    </w:p>
    <w:p w:rsidR="00740E5E" w:rsidRPr="000A30DC" w:rsidRDefault="00740E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4" w:name="_Toc39141656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состоянию на 01.01.2023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года, количество многоквартирных домов на территории Находкинского г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ородского округа составило 1 297 единиц.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6A5E" w:rsidRPr="000A30DC" w:rsidRDefault="00740E5E" w:rsidP="00D36A5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1 249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многоквартирных домах Находкинского городского округа, в соответствии с Жилищным кодексом РФ, собственниками помещений выбраны и реализуются такие способы управления, как управление управляющей организацией, непосредственное управление, управление товариществом собственников жилья, либо жилищным кооперативом или иным специализированным потребительским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коо</w:t>
      </w:r>
      <w:r w:rsidR="00C17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перативом, что составляет 96,3</w:t>
      </w:r>
      <w:r w:rsidR="00D36A5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 от общего количества многоквартирных домов. В отношении многоквартирных домов, где способ управления не выбран, администрацией Находкинского городского округа проводятся конкурсы по отбору управляющих организаций.</w:t>
      </w:r>
    </w:p>
    <w:p w:rsidR="006B0C11" w:rsidRPr="000A30DC" w:rsidRDefault="006B0C11" w:rsidP="006B0C1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Показатель «Доля многоквартирных домов, расположенных на земельных участках, в отношении которых осуществлен государст</w:t>
      </w:r>
      <w:r w:rsidR="001D51F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венный кадастровый учет» за 2022 год составил: 1</w:t>
      </w:r>
      <w:r w:rsidR="00C17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1D51F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315/1</w:t>
      </w:r>
      <w:r w:rsidR="00C17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697*100%= 77,5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%. Планируется дальнейший рост показателя.</w:t>
      </w:r>
    </w:p>
    <w:p w:rsidR="006B0C11" w:rsidRPr="000A30DC" w:rsidRDefault="00C02F4E" w:rsidP="006B0C1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2022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году улучшили жилищные условия 49 семей, из них: 46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семей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малоимущи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и нуждающиеся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получили жилые помещения п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договору социального найма; 3 семьи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улучшили жилищные условия за счет средств Федерального бюджета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инвалиды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Число семей, состоящих на учете в качестве нуждающихся в</w:t>
      </w:r>
      <w:r w:rsidR="0054623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жилых помещениях, </w:t>
      </w:r>
      <w:proofErr w:type="gramStart"/>
      <w:r w:rsidR="0054623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конец</w:t>
      </w:r>
      <w:proofErr w:type="gramEnd"/>
      <w:r w:rsidR="0054623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 года составило 1 072</w:t>
      </w:r>
      <w:r w:rsidR="006B0C11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семей.</w:t>
      </w:r>
    </w:p>
    <w:p w:rsidR="006B0C11" w:rsidRPr="000A30DC" w:rsidRDefault="006B0C11" w:rsidP="006B0C1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Показатель: </w:t>
      </w:r>
      <w:proofErr w:type="gram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</w:t>
      </w:r>
      <w:r w:rsidR="0054623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ся в жил</w:t>
      </w:r>
      <w:r w:rsidR="00C17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 помещениях» 49/1072*100%=4,6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%. В дальнейшем планируется рост показателя с 4,</w:t>
      </w:r>
      <w:r w:rsidR="00C17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54623E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 в 2022 году до 5,8% в 2025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году.</w:t>
      </w:r>
      <w:proofErr w:type="gramEnd"/>
    </w:p>
    <w:p w:rsidR="00F02D72" w:rsidRPr="000A30DC" w:rsidRDefault="00F02D72" w:rsidP="00F02D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Коммунальные услуги на территории Находкинского городского округа предоставляют 9 организаций коммунального комплекса, в том числе:</w:t>
      </w:r>
    </w:p>
    <w:p w:rsidR="00F02D72" w:rsidRPr="000A30DC" w:rsidRDefault="00F02D72" w:rsidP="00F02D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водоснабжение и водоотведение – 5 предприятий;</w:t>
      </w:r>
    </w:p>
    <w:p w:rsidR="00F02D72" w:rsidRPr="000A30DC" w:rsidRDefault="00F02D72" w:rsidP="00F02D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транспортировка электрической энергии – 1 предприятие;</w:t>
      </w:r>
    </w:p>
    <w:p w:rsidR="00F02D72" w:rsidRPr="000A30DC" w:rsidRDefault="00F02D72" w:rsidP="00F02D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утилизация (захоронение) твердых бытовых отходов – 1 предприятие;</w:t>
      </w:r>
    </w:p>
    <w:p w:rsidR="00F02D72" w:rsidRPr="000A30DC" w:rsidRDefault="00F02D72" w:rsidP="00F02D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теплоснабжение – 2 предприятия.</w:t>
      </w:r>
    </w:p>
    <w:p w:rsidR="00F02D72" w:rsidRPr="000A30DC" w:rsidRDefault="00F02D72" w:rsidP="00F02D7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9 организаций, оказывающих коммунальные услуги, 7 имеют частную форму собственности и используют объекты коммунальной инфраструктуры по договорам аренды. </w:t>
      </w:r>
    </w:p>
    <w:p w:rsidR="00D36A5E" w:rsidRPr="000A30DC" w:rsidRDefault="00D36A5E" w:rsidP="00C47E39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A30DC">
        <w:rPr>
          <w:rFonts w:ascii="Times New Roman" w:eastAsia="Calibri" w:hAnsi="Times New Roman" w:cs="Times New Roman"/>
          <w:color w:val="000000" w:themeColor="text1"/>
        </w:rPr>
        <w:t>Организация муниципального управления</w:t>
      </w:r>
      <w:bookmarkEnd w:id="14"/>
    </w:p>
    <w:p w:rsidR="00D36A5E" w:rsidRPr="000A30DC" w:rsidRDefault="00D36A5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15" w:name="_Toc39141657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Организация муниципального управления осуществлялась в рамках бюджетных назначений, согласно установленным полномочиям.</w:t>
      </w:r>
    </w:p>
    <w:p w:rsidR="00DF378B" w:rsidRPr="000A30DC" w:rsidRDefault="00DF378B" w:rsidP="00DF3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Решением Думы Находкинского городского округа от 15.12.2021 № 989-НПА «О бюджете Находкинского городского округа на 2022 год и плановый период 2023-2024 годов» был утвержден бюджет на 3 года – очередной финансовый год 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noBreakHyphen/>
        <w:t xml:space="preserve"> 2022 и плановый период 2023 и 2024 годы.</w:t>
      </w:r>
    </w:p>
    <w:p w:rsidR="00DF378B" w:rsidRPr="000A30DC" w:rsidRDefault="00DF378B" w:rsidP="00DF3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Исполнение бюджета осуществлялось в разрезе муниципальных программ, в соответствии с Бюджетным кодексом РФ и решением Думы Находкинского городского округа от 09.08.2017 № 1217-НПА «О бюджетном процессе в Находкинском городском округе», на основании сводной бюджетной росписи и кассового плана. </w:t>
      </w:r>
    </w:p>
    <w:p w:rsidR="00DF378B" w:rsidRPr="000A30DC" w:rsidRDefault="00DF378B" w:rsidP="00DF3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Для организации процесса эффективного исполнения бюджета в 2022 году было принято постановление администрации Находкинского городского округа от 09.02.2022 № 123 «О мерах по реализации решения Думы Находкинского го</w:t>
      </w:r>
      <w:r w:rsidR="00254CC5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родского округа от 15.12.2021 №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989-НПА «О бюджете Находкинского городского округа на 2022 год и плановый период 2023-2024 годов».</w:t>
      </w:r>
    </w:p>
    <w:p w:rsidR="008215CB" w:rsidRPr="000A30DC" w:rsidRDefault="008215CB" w:rsidP="00DF3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Основные параметры исполнения бюджета Находкинского городского округа за 2022 год:</w:t>
      </w:r>
    </w:p>
    <w:p w:rsidR="008215CB" w:rsidRPr="000A30DC" w:rsidRDefault="008215CB" w:rsidP="008215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доходы – 6 093 622 095,33 руб.</w:t>
      </w:r>
    </w:p>
    <w:p w:rsidR="008215CB" w:rsidRPr="000A30DC" w:rsidRDefault="008215CB" w:rsidP="008215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расходы – 6 112 875 658,01 руб.</w:t>
      </w:r>
    </w:p>
    <w:p w:rsidR="008215CB" w:rsidRPr="000A30DC" w:rsidRDefault="008215CB" w:rsidP="008215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дефицит – 19 253 562,68 руб.</w:t>
      </w:r>
    </w:p>
    <w:p w:rsidR="008215CB" w:rsidRPr="000A30DC" w:rsidRDefault="008215CB" w:rsidP="008215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муниципальный долг на 01.01.2023г. – 85 000 000,00 руб.</w:t>
      </w:r>
    </w:p>
    <w:p w:rsidR="008A0925" w:rsidRPr="000A30DC" w:rsidRDefault="008A0925" w:rsidP="008A09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 общих поступлений в бюджет налоговые и неналоговые доходы составили  в сумме 2 522,2 млн. руб., безвозмездные поступления – в сумме 3 571,4 млн. руб., из них:</w:t>
      </w:r>
    </w:p>
    <w:p w:rsidR="008A0925" w:rsidRPr="000A30DC" w:rsidRDefault="008A0925" w:rsidP="008A09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­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д</w:t>
      </w:r>
      <w:r w:rsidR="005B4A6C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отации в сумме 151,6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руб.;</w:t>
      </w:r>
    </w:p>
    <w:p w:rsidR="008A0925" w:rsidRPr="000A30DC" w:rsidRDefault="005B4A6C" w:rsidP="008A09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­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субсидии в сумме 705,4 млн. </w:t>
      </w:r>
      <w:r w:rsidR="008A0925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руб.;</w:t>
      </w:r>
    </w:p>
    <w:p w:rsidR="008A0925" w:rsidRPr="000A30DC" w:rsidRDefault="005B4A6C" w:rsidP="008A09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­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субвенции в сумме 1 734,6 </w:t>
      </w:r>
      <w:r w:rsidR="008A0925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млн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 </w:t>
      </w:r>
      <w:r w:rsidR="008A0925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руб.;</w:t>
      </w:r>
    </w:p>
    <w:p w:rsidR="008A0925" w:rsidRPr="000A30DC" w:rsidRDefault="008A0925" w:rsidP="008A09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­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иные межбюдж</w:t>
      </w:r>
      <w:r w:rsidR="005B4A6C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етные трансферты в сумме 958,4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руб.;</w:t>
      </w:r>
    </w:p>
    <w:p w:rsidR="00D36A5E" w:rsidRPr="000A30DC" w:rsidRDefault="008A0925" w:rsidP="008A092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­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прочие безвозмездные поступлени</w:t>
      </w:r>
      <w:r w:rsidR="005B4A6C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 (пожертвования) в сумме 21,4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</w:t>
      </w:r>
    </w:p>
    <w:p w:rsidR="00452C3E" w:rsidRPr="000A30DC" w:rsidRDefault="00452C3E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Налоговые доходы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 2022 год выполнены на 101,3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%, при утвержденном годовом плане в сумме 2 150,4  млн. руб., поступило в бюджет 2 178 млн. руб.</w:t>
      </w:r>
    </w:p>
    <w:p w:rsidR="001D3A76" w:rsidRPr="000A30DC" w:rsidRDefault="001D3A76" w:rsidP="00D36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Неналоговые доходы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 2022 год выполнены на 101,1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%, при утвержденном плане на 2022 год в сумме 340,3 млн. руб. поступило в бюджет 344,2 млн. руб.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разрезе доходных источников по неналоговым доходам план не выполнен по доходам от арендной платы за земельные участки и плате за негативное воздействие на окружающую среду.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структуре неналоговых доходов, поступивших в местный бюджет, наибольший удельный вес составили: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доходы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участ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ков (172,6 млн. руб., или 50,16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%);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доходы от продажи материальных и нематериальных акт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ивов (89,4 млн. руб., или 26,0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%);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прочие неналоговые до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ходы (37,1  млн. руб., или 10,8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%);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плата за негативное воздействие на окружающу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ю среду (9,9 млн. руб., или 2,9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%); 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штрафы, санкции, возмещение 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ущерба (11,9 млн. руб., или 3,5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%).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 сравнению с 2021 годом увеличились поступления следующих неналоговых доходов: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доходов от реализации имущества, находящегося в муниципальной собственности, на сумму 4,4 млн. руб., или в 1,7 раза, за счет внесения изменений в 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программу приватизации по включению дополнительных объектов  муниципального имущества и их продажи;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платы за увеличение площади земельных участков, находящихся в частной собственности, на сумму 5,4 млн. руб., или в 2,8 раза, в связи с востребованностью земельных участков; 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штрафов, санкций, возмещение ущерба на с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умму 3,2 млн. руб., или на 37,1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%, за счет роста административных штрафов, налагаемых мировыми судьями.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Снизились поступления по сравнению с 2021 годом: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доходов от продажи земельных участков, государственная собственность на которые не разграничена, на су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мму 42,9 млн. руб., или на 38,0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%, за счет снижения спроса на земельные участки у потенциальных покупателей;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доходов от арендной платы за земельные участки, государственная собственность на которые не разграничена, и поступлений от продажи права на заключение договоров аренды указанных земельных участков –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 37,3 млн. руб., или на 17,8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 за счет уменьшения кадастровой стоимости земельных участков;</w:t>
      </w:r>
    </w:p>
    <w:p w:rsidR="002D657F" w:rsidRPr="000A30DC" w:rsidRDefault="002D657F" w:rsidP="002D65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платы за негативное воздействие на окружающую среду на сумму 7 млн. руб., или  на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41,5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%, за счет переплаты авансовых платежей в 2021 году следующими предприятиями: ООО «Стивидорная компания Малый порт», МУП «Находка Водоканал», АО «</w:t>
      </w:r>
      <w:proofErr w:type="spellStart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Южморрыбфлот</w:t>
      </w:r>
      <w:proofErr w:type="spellEnd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», которые зачтены в 1 квартале 2022 года.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целом расходы бюджета Находкинского городского округа </w:t>
      </w:r>
      <w:r w:rsidR="00BD1D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 2022 год исполнены в сумме 6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112,9 </w:t>
      </w:r>
      <w:r w:rsidR="00BD1D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млн. руб., что составило 98,8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 от бюджетных назначений на год. Объем расходов бюдже</w:t>
      </w:r>
      <w:r w:rsidR="00E74238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 за 2022 год больше на 1</w:t>
      </w:r>
      <w:r w:rsidR="00BD1D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</w:t>
      </w:r>
      <w:r w:rsidR="00E74238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399</w:t>
      </w:r>
      <w:r w:rsidR="00BD1D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руб., чем за 2021 год.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Расходы бюджета Находкинского городского округа исполнены за счет: 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безвозмездных поступлений в бюджет городского округа в виде субвенций, субсидий, иных межбюджетных трансфе</w:t>
      </w:r>
      <w:r w:rsidR="009952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ртов в общей сумме 3 398,4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руб. 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собственных доходов местного бюджета (в том числе остатков средств на счетах на 01 января 2022г.), дотации из бюджета Приморского края на поддержку мер по сбалансированности бюд</w:t>
      </w:r>
      <w:r w:rsidR="00B94F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жетов, прочей дотации в сумме 2 714,5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2022 году с целью реализации Указа Президента Российской Федерации от 07 мая 2018 № 204 продолжалась работа по оптимизации действующих расходных обязательств и направлению бюджетных средств на решение приоритетных проектов.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В 2022 году на реализацию 4 национальных проектов было израс</w:t>
      </w:r>
      <w:r w:rsidR="002B1E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ходовано 86,3 млн. 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 или 100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 от годовых бюджетных назначений.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Распоряжением Правительства Российской Федерации от 16 июня 2022 года №1580-р утвержден долгосрочный план комплексного социально-экономического развития Находкинского городского округа. Расходы бюджета Находкинского городского округа в 2022 году на реализацию меропри</w:t>
      </w:r>
      <w:r w:rsidR="00242B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ятий плана составили 843,5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руб., в том числе за счет средств: 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резервного фонда правительст</w:t>
      </w:r>
      <w:r w:rsidR="00242B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ва Российской Федерации – 834,3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</w:t>
      </w:r>
    </w:p>
    <w:p w:rsidR="00BD3699" w:rsidRPr="000A30DC" w:rsidRDefault="00242B81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местного бюджета – 9,2 млн. </w:t>
      </w:r>
      <w:r w:rsidR="00BD3699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Финансирование отраслей социальной сферы соста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вило более 4 млрд. руб., или 66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 всех расходов бюджета,</w:t>
      </w:r>
      <w:r w:rsidR="00D50EF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эта сумма увеличилась на 913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 по сравнению с уровнем 2021 года.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Расходы инвестиционного характера за 2022 год исполнены на су</w:t>
      </w:r>
      <w:r w:rsidR="009913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мму 307 млн. руб., что на 238,8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 больше, чем за 2021 год. За счет средств федерального бюджета инвести</w:t>
      </w:r>
      <w:r w:rsidR="009913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ционные расходы составили 184,5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руб., за счет сре</w:t>
      </w:r>
      <w:proofErr w:type="gramStart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дств кр</w:t>
      </w:r>
      <w:proofErr w:type="gramEnd"/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аевого </w:t>
      </w:r>
      <w:r w:rsidR="009913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бюджета – 105,6 млн. 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руб. 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 2022 год расходы бюджета по 20 муниципальным программам исполнены на сумм</w:t>
      </w:r>
      <w:r w:rsidR="009913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 4 938,2 млн. 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руб. или на 99,8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% от назначений на год. </w:t>
      </w:r>
    </w:p>
    <w:p w:rsidR="00BD3699" w:rsidRPr="000A30DC" w:rsidRDefault="00BD3699" w:rsidP="00BD36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Доля расходов бюджета, направленных на реализацию мероприятий муницип</w:t>
      </w:r>
      <w:r w:rsidR="0044601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альных программ, составила 80,8</w:t>
      </w: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 от общего объема расходов.</w:t>
      </w:r>
    </w:p>
    <w:p w:rsidR="00002686" w:rsidRPr="000A30DC" w:rsidRDefault="00D36A5E" w:rsidP="00002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Генеральный план Находкинского городского округа принят решением Думы Находкинского городского округа от 29.09.2010 № 578-НПА «О Генеральном плане Находкинского городского округа». </w:t>
      </w:r>
      <w:r w:rsidR="00076B4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Проект Внесения изменений в Генеральный план Находкинского городского округа утвержден решением Думы Находкинского городског</w:t>
      </w:r>
      <w:r w:rsidR="00002686" w:rsidRPr="000A30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округа от 26.10.2022 № 10-НПА «О внесении изменений в решение Думы Находкинского городского округа от 29.09.2010 № 578-НПА «О Генеральном плане Находкинского городского округа»</w:t>
      </w:r>
    </w:p>
    <w:p w:rsidR="00D36A5E" w:rsidRPr="000A30DC" w:rsidRDefault="00D36A5E" w:rsidP="00C47E39">
      <w:pPr>
        <w:pStyle w:val="2"/>
        <w:spacing w:before="360" w:after="360"/>
        <w:jc w:val="center"/>
        <w:rPr>
          <w:rFonts w:ascii="Times New Roman" w:eastAsia="Calibri" w:hAnsi="Times New Roman" w:cs="Times New Roman"/>
          <w:color w:val="000000" w:themeColor="text1"/>
        </w:rPr>
      </w:pPr>
      <w:bookmarkStart w:id="16" w:name="_GoBack"/>
      <w:bookmarkEnd w:id="16"/>
      <w:r w:rsidRPr="000A30DC">
        <w:rPr>
          <w:rFonts w:ascii="Times New Roman" w:eastAsia="Calibri" w:hAnsi="Times New Roman" w:cs="Times New Roman"/>
          <w:color w:val="000000" w:themeColor="text1"/>
        </w:rPr>
        <w:t>Энергосбережение и повышение энергетической эффективности</w:t>
      </w:r>
      <w:bookmarkEnd w:id="15"/>
    </w:p>
    <w:p w:rsidR="00B2577C" w:rsidRPr="000A30DC" w:rsidRDefault="00B2577C" w:rsidP="00B25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2022 году в многоквартирных домах продолжается установка общедомовых и внутриквартирных приборов учета потребления энергетических ресурсов, данные </w:t>
      </w: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мероприятия позволили оптимизировать потребление по фактическому использованию. Кроме того, все чаще населением используются бытовые приборы с высоким классом энергосбережения, что позволяет снизить потребление электроэнергии.</w:t>
      </w:r>
    </w:p>
    <w:p w:rsidR="00B2577C" w:rsidRPr="000A30DC" w:rsidRDefault="00B2577C" w:rsidP="00B25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первоочередным мероприятиям по энергосбережению относится установка общедомовых приборов учета тепловой энергии. В Находкинском городском округе количество многоквартирных домов с установленными общедомовыми приборами учета тепловой энергии по отношению к предыдущему году увеличилось на 96 дома и составляет 847 домов. </w:t>
      </w:r>
    </w:p>
    <w:p w:rsidR="00B2577C" w:rsidRPr="000A30DC" w:rsidRDefault="00B2577C" w:rsidP="00B25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Кроме того, в целях снижения потерь коммунальных ресурсов при транспортировке до потребителя, администрацией Находкинского городского округа выполняется комплекс мер направленных на ремонт и замену сетей коммунальных ресурсов.  </w:t>
      </w:r>
    </w:p>
    <w:p w:rsidR="006218DA" w:rsidRPr="000A30DC" w:rsidRDefault="00B2577C" w:rsidP="0062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Расчет удельной величины потребления энергетических ресурсов в многоквартирных домах произведен с учетом предоставленных данных 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ресурсоснабжающими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организациями Находкинс</w:t>
      </w:r>
      <w:r w:rsidR="006218DA"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кого городского округа. </w:t>
      </w:r>
    </w:p>
    <w:p w:rsidR="006218DA" w:rsidRPr="000A30DC" w:rsidRDefault="006218DA" w:rsidP="00621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части развития инженерной инфраструктуры предполагается газификация округа. В рамках государственной программы Приморского края «</w:t>
      </w:r>
      <w:proofErr w:type="spellStart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Энергоэффективность</w:t>
      </w:r>
      <w:proofErr w:type="spellEnd"/>
      <w:r w:rsidRPr="000A3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развитие газоснабжения и энергетики в Приморском крае» был заключен контракт на разработку проектной документации по газификации Находкинского городского округа. Перевод котельных на газ позволит значительно улучшить экологическую обстановку в городе.</w:t>
      </w:r>
    </w:p>
    <w:p w:rsidR="0014351F" w:rsidRPr="000A30DC" w:rsidRDefault="0014351F">
      <w:pPr>
        <w:rPr>
          <w:color w:val="000000" w:themeColor="text1"/>
        </w:rPr>
      </w:pPr>
    </w:p>
    <w:sectPr w:rsidR="0014351F" w:rsidRPr="000A30DC" w:rsidSect="007B695E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DC" w:rsidRDefault="000A30DC" w:rsidP="007B695E">
      <w:pPr>
        <w:spacing w:after="0" w:line="240" w:lineRule="auto"/>
      </w:pPr>
      <w:r>
        <w:separator/>
      </w:r>
    </w:p>
  </w:endnote>
  <w:endnote w:type="continuationSeparator" w:id="0">
    <w:p w:rsidR="000A30DC" w:rsidRDefault="000A30DC" w:rsidP="007B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DC" w:rsidRDefault="000A30DC" w:rsidP="007B695E">
      <w:pPr>
        <w:spacing w:after="0" w:line="240" w:lineRule="auto"/>
      </w:pPr>
      <w:r>
        <w:separator/>
      </w:r>
    </w:p>
  </w:footnote>
  <w:footnote w:type="continuationSeparator" w:id="0">
    <w:p w:rsidR="000A30DC" w:rsidRDefault="000A30DC" w:rsidP="007B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1961"/>
      <w:docPartObj>
        <w:docPartGallery w:val="Page Numbers (Top of Page)"/>
        <w:docPartUnique/>
      </w:docPartObj>
    </w:sdtPr>
    <w:sdtContent>
      <w:p w:rsidR="000A30DC" w:rsidRDefault="000A30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E7">
          <w:rPr>
            <w:noProof/>
          </w:rPr>
          <w:t>24</w:t>
        </w:r>
        <w:r>
          <w:fldChar w:fldCharType="end"/>
        </w:r>
      </w:p>
    </w:sdtContent>
  </w:sdt>
  <w:p w:rsidR="000A30DC" w:rsidRDefault="000A30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BC"/>
    <w:multiLevelType w:val="hybridMultilevel"/>
    <w:tmpl w:val="B07299F2"/>
    <w:lvl w:ilvl="0" w:tplc="87F09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5F8"/>
    <w:multiLevelType w:val="hybridMultilevel"/>
    <w:tmpl w:val="52921160"/>
    <w:lvl w:ilvl="0" w:tplc="8DAEDD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D5A7D"/>
    <w:multiLevelType w:val="hybridMultilevel"/>
    <w:tmpl w:val="4E6ACFBC"/>
    <w:lvl w:ilvl="0" w:tplc="86166482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7A7C4962"/>
    <w:multiLevelType w:val="hybridMultilevel"/>
    <w:tmpl w:val="15E0729A"/>
    <w:lvl w:ilvl="0" w:tplc="10225A1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05"/>
    <w:rsid w:val="00002686"/>
    <w:rsid w:val="00005196"/>
    <w:rsid w:val="00027103"/>
    <w:rsid w:val="00033CE7"/>
    <w:rsid w:val="00060F49"/>
    <w:rsid w:val="00073834"/>
    <w:rsid w:val="00076B46"/>
    <w:rsid w:val="00086ABF"/>
    <w:rsid w:val="000A30DC"/>
    <w:rsid w:val="000A5477"/>
    <w:rsid w:val="000B35C3"/>
    <w:rsid w:val="000C4338"/>
    <w:rsid w:val="000E0B71"/>
    <w:rsid w:val="000E63FE"/>
    <w:rsid w:val="001021D4"/>
    <w:rsid w:val="00103310"/>
    <w:rsid w:val="00127C03"/>
    <w:rsid w:val="0014351F"/>
    <w:rsid w:val="00147C44"/>
    <w:rsid w:val="00152670"/>
    <w:rsid w:val="00176C81"/>
    <w:rsid w:val="001A623C"/>
    <w:rsid w:val="001D3A76"/>
    <w:rsid w:val="001D51F1"/>
    <w:rsid w:val="001F3308"/>
    <w:rsid w:val="00201EB4"/>
    <w:rsid w:val="00203153"/>
    <w:rsid w:val="00242AAC"/>
    <w:rsid w:val="00242B81"/>
    <w:rsid w:val="00245439"/>
    <w:rsid w:val="00254CC5"/>
    <w:rsid w:val="00255A9C"/>
    <w:rsid w:val="00264C3E"/>
    <w:rsid w:val="00292587"/>
    <w:rsid w:val="002B1E4C"/>
    <w:rsid w:val="002B49C4"/>
    <w:rsid w:val="002C1968"/>
    <w:rsid w:val="002D657F"/>
    <w:rsid w:val="00316949"/>
    <w:rsid w:val="00323018"/>
    <w:rsid w:val="00323419"/>
    <w:rsid w:val="00327EFC"/>
    <w:rsid w:val="0033183C"/>
    <w:rsid w:val="00337F51"/>
    <w:rsid w:val="0035769E"/>
    <w:rsid w:val="00372C4F"/>
    <w:rsid w:val="00390F5B"/>
    <w:rsid w:val="003A66C2"/>
    <w:rsid w:val="003E1C8D"/>
    <w:rsid w:val="003F169A"/>
    <w:rsid w:val="00407C4B"/>
    <w:rsid w:val="00410031"/>
    <w:rsid w:val="00424462"/>
    <w:rsid w:val="00445174"/>
    <w:rsid w:val="00446016"/>
    <w:rsid w:val="00452C3E"/>
    <w:rsid w:val="00480EEC"/>
    <w:rsid w:val="00481B9D"/>
    <w:rsid w:val="00497212"/>
    <w:rsid w:val="004B5237"/>
    <w:rsid w:val="004C4B39"/>
    <w:rsid w:val="004C50FA"/>
    <w:rsid w:val="004D1B1A"/>
    <w:rsid w:val="004D4E62"/>
    <w:rsid w:val="004D7E06"/>
    <w:rsid w:val="004E3FED"/>
    <w:rsid w:val="004E5B5F"/>
    <w:rsid w:val="00521731"/>
    <w:rsid w:val="00524820"/>
    <w:rsid w:val="00537F9F"/>
    <w:rsid w:val="00545CEE"/>
    <w:rsid w:val="0054623E"/>
    <w:rsid w:val="00550AC3"/>
    <w:rsid w:val="00551AF8"/>
    <w:rsid w:val="00561DD1"/>
    <w:rsid w:val="00573594"/>
    <w:rsid w:val="005B4A6C"/>
    <w:rsid w:val="005B75A6"/>
    <w:rsid w:val="005C3391"/>
    <w:rsid w:val="005E7AD9"/>
    <w:rsid w:val="006218DA"/>
    <w:rsid w:val="00633799"/>
    <w:rsid w:val="00633DF0"/>
    <w:rsid w:val="006535F3"/>
    <w:rsid w:val="006664DB"/>
    <w:rsid w:val="00670478"/>
    <w:rsid w:val="00686568"/>
    <w:rsid w:val="00697615"/>
    <w:rsid w:val="006A1BC3"/>
    <w:rsid w:val="006B0C11"/>
    <w:rsid w:val="006C4935"/>
    <w:rsid w:val="00720605"/>
    <w:rsid w:val="00735BD8"/>
    <w:rsid w:val="00740E5E"/>
    <w:rsid w:val="007629E5"/>
    <w:rsid w:val="007654C4"/>
    <w:rsid w:val="00790637"/>
    <w:rsid w:val="007940E1"/>
    <w:rsid w:val="007B695E"/>
    <w:rsid w:val="007F3A5A"/>
    <w:rsid w:val="0081519D"/>
    <w:rsid w:val="008215CB"/>
    <w:rsid w:val="008223F9"/>
    <w:rsid w:val="00856A2E"/>
    <w:rsid w:val="00886022"/>
    <w:rsid w:val="00887FF8"/>
    <w:rsid w:val="00890BBA"/>
    <w:rsid w:val="008A0925"/>
    <w:rsid w:val="008B4998"/>
    <w:rsid w:val="008C73E9"/>
    <w:rsid w:val="008E7D10"/>
    <w:rsid w:val="00924470"/>
    <w:rsid w:val="0093043F"/>
    <w:rsid w:val="00960B42"/>
    <w:rsid w:val="00970ADC"/>
    <w:rsid w:val="009860AA"/>
    <w:rsid w:val="009913B4"/>
    <w:rsid w:val="009920BB"/>
    <w:rsid w:val="00995269"/>
    <w:rsid w:val="009A71D7"/>
    <w:rsid w:val="009B174A"/>
    <w:rsid w:val="009B4DDE"/>
    <w:rsid w:val="009B52F8"/>
    <w:rsid w:val="009B5AAF"/>
    <w:rsid w:val="009C3E2D"/>
    <w:rsid w:val="009D476D"/>
    <w:rsid w:val="009F4590"/>
    <w:rsid w:val="00A12C28"/>
    <w:rsid w:val="00A32FF2"/>
    <w:rsid w:val="00A363B6"/>
    <w:rsid w:val="00A526EE"/>
    <w:rsid w:val="00A84A74"/>
    <w:rsid w:val="00AB5A61"/>
    <w:rsid w:val="00AC75E8"/>
    <w:rsid w:val="00AE6782"/>
    <w:rsid w:val="00AF4EA5"/>
    <w:rsid w:val="00B04E7F"/>
    <w:rsid w:val="00B20B74"/>
    <w:rsid w:val="00B2577C"/>
    <w:rsid w:val="00B2639C"/>
    <w:rsid w:val="00B42F28"/>
    <w:rsid w:val="00B74B59"/>
    <w:rsid w:val="00B8216A"/>
    <w:rsid w:val="00B94FA3"/>
    <w:rsid w:val="00B97C61"/>
    <w:rsid w:val="00BB3129"/>
    <w:rsid w:val="00BD1DC8"/>
    <w:rsid w:val="00BD3699"/>
    <w:rsid w:val="00BD3D6F"/>
    <w:rsid w:val="00BD5B8E"/>
    <w:rsid w:val="00BE27FF"/>
    <w:rsid w:val="00BF0ED8"/>
    <w:rsid w:val="00C02F4E"/>
    <w:rsid w:val="00C056D0"/>
    <w:rsid w:val="00C11F54"/>
    <w:rsid w:val="00C169B0"/>
    <w:rsid w:val="00C17795"/>
    <w:rsid w:val="00C225F8"/>
    <w:rsid w:val="00C42902"/>
    <w:rsid w:val="00C47E39"/>
    <w:rsid w:val="00C55844"/>
    <w:rsid w:val="00C848ED"/>
    <w:rsid w:val="00CD534C"/>
    <w:rsid w:val="00CE5A04"/>
    <w:rsid w:val="00CF0655"/>
    <w:rsid w:val="00D018A6"/>
    <w:rsid w:val="00D03316"/>
    <w:rsid w:val="00D27C2F"/>
    <w:rsid w:val="00D30749"/>
    <w:rsid w:val="00D36A5E"/>
    <w:rsid w:val="00D4796D"/>
    <w:rsid w:val="00D50EFA"/>
    <w:rsid w:val="00D76D7B"/>
    <w:rsid w:val="00DC11A2"/>
    <w:rsid w:val="00DF378B"/>
    <w:rsid w:val="00E223B7"/>
    <w:rsid w:val="00E26A3A"/>
    <w:rsid w:val="00E30649"/>
    <w:rsid w:val="00E30F47"/>
    <w:rsid w:val="00E3672B"/>
    <w:rsid w:val="00E40685"/>
    <w:rsid w:val="00E54579"/>
    <w:rsid w:val="00E56567"/>
    <w:rsid w:val="00E74238"/>
    <w:rsid w:val="00E84EA8"/>
    <w:rsid w:val="00E938C0"/>
    <w:rsid w:val="00E9622A"/>
    <w:rsid w:val="00EB2D02"/>
    <w:rsid w:val="00ED5713"/>
    <w:rsid w:val="00EE2367"/>
    <w:rsid w:val="00EF124F"/>
    <w:rsid w:val="00F0032B"/>
    <w:rsid w:val="00F019F0"/>
    <w:rsid w:val="00F02D72"/>
    <w:rsid w:val="00F060CF"/>
    <w:rsid w:val="00F14C0E"/>
    <w:rsid w:val="00F20EAF"/>
    <w:rsid w:val="00F32204"/>
    <w:rsid w:val="00F372FF"/>
    <w:rsid w:val="00F4005B"/>
    <w:rsid w:val="00F50A6C"/>
    <w:rsid w:val="00F50F63"/>
    <w:rsid w:val="00F54587"/>
    <w:rsid w:val="00F661D7"/>
    <w:rsid w:val="00F7655A"/>
    <w:rsid w:val="00F81074"/>
    <w:rsid w:val="00F927BD"/>
    <w:rsid w:val="00F97D2B"/>
    <w:rsid w:val="00FA64E6"/>
    <w:rsid w:val="00FB1C0C"/>
    <w:rsid w:val="00FC50D2"/>
    <w:rsid w:val="00FD19E1"/>
    <w:rsid w:val="00FE5B30"/>
    <w:rsid w:val="00FE5F50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2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95E"/>
  </w:style>
  <w:style w:type="paragraph" w:styleId="a5">
    <w:name w:val="footer"/>
    <w:basedOn w:val="a"/>
    <w:link w:val="a6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95E"/>
  </w:style>
  <w:style w:type="character" w:customStyle="1" w:styleId="10">
    <w:name w:val="Заголовок 1 Знак"/>
    <w:basedOn w:val="a0"/>
    <w:link w:val="1"/>
    <w:uiPriority w:val="9"/>
    <w:rsid w:val="0024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2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363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5B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A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2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95E"/>
  </w:style>
  <w:style w:type="paragraph" w:styleId="a5">
    <w:name w:val="footer"/>
    <w:basedOn w:val="a"/>
    <w:link w:val="a6"/>
    <w:uiPriority w:val="99"/>
    <w:unhideWhenUsed/>
    <w:rsid w:val="007B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95E"/>
  </w:style>
  <w:style w:type="character" w:customStyle="1" w:styleId="10">
    <w:name w:val="Заголовок 1 Знак"/>
    <w:basedOn w:val="a0"/>
    <w:link w:val="1"/>
    <w:uiPriority w:val="9"/>
    <w:rsid w:val="0024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2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363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5B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A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90D1-443F-49F9-A808-97639178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25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Марина Николаевна</dc:creator>
  <cp:keywords/>
  <dc:description/>
  <cp:lastModifiedBy>Муковня Маргарита Игоревна</cp:lastModifiedBy>
  <cp:revision>207</cp:revision>
  <cp:lastPrinted>2023-04-28T00:47:00Z</cp:lastPrinted>
  <dcterms:created xsi:type="dcterms:W3CDTF">2022-04-29T03:56:00Z</dcterms:created>
  <dcterms:modified xsi:type="dcterms:W3CDTF">2023-04-28T03:46:00Z</dcterms:modified>
</cp:coreProperties>
</file>