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25" w:rsidRPr="003D2625" w:rsidRDefault="003D2625" w:rsidP="003D2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3D2625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Отчет о выполнении плана мероприятий («дорожной карты)</w:t>
      </w:r>
    </w:p>
    <w:p w:rsidR="003D2625" w:rsidRPr="003D2625" w:rsidRDefault="003D2625" w:rsidP="003D2625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3D2625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по содействию развитию конкуренции в Находкинском городском округе Приморского края за </w:t>
      </w: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1 квартал </w:t>
      </w:r>
      <w:r w:rsidRPr="003D2625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20</w:t>
      </w:r>
      <w:r w:rsidRPr="003D2625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а</w:t>
      </w:r>
    </w:p>
    <w:tbl>
      <w:tblPr>
        <w:tblW w:w="1630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292"/>
        <w:gridCol w:w="4824"/>
        <w:gridCol w:w="3544"/>
        <w:gridCol w:w="1135"/>
        <w:gridCol w:w="994"/>
        <w:gridCol w:w="946"/>
        <w:gridCol w:w="47"/>
        <w:gridCol w:w="994"/>
      </w:tblGrid>
      <w:tr w:rsidR="00243EBB" w:rsidRPr="00243EBB" w:rsidTr="002F3540">
        <w:trPr>
          <w:trHeight w:val="170"/>
          <w:tblHeader/>
        </w:trPr>
        <w:tc>
          <w:tcPr>
            <w:tcW w:w="528" w:type="dxa"/>
            <w:vMerge w:val="restart"/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92" w:type="dxa"/>
            <w:vMerge w:val="restart"/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824" w:type="dxa"/>
            <w:vMerge w:val="restart"/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Результат исполнения мероприятия</w:t>
            </w:r>
          </w:p>
        </w:tc>
        <w:tc>
          <w:tcPr>
            <w:tcW w:w="3544" w:type="dxa"/>
            <w:vMerge w:val="restart"/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5" w:type="dxa"/>
            <w:vMerge w:val="restart"/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2981" w:type="dxa"/>
            <w:gridSpan w:val="4"/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показателя</w:t>
            </w:r>
          </w:p>
        </w:tc>
      </w:tr>
      <w:tr w:rsidR="00243EBB" w:rsidRPr="00243EBB" w:rsidTr="002F3540">
        <w:trPr>
          <w:trHeight w:val="170"/>
          <w:tblHeader/>
        </w:trPr>
        <w:tc>
          <w:tcPr>
            <w:tcW w:w="528" w:type="dxa"/>
            <w:vMerge/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vMerge/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4" w:type="dxa"/>
            <w:vMerge/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gridSpan w:val="2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99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31.03.2020</w:t>
            </w:r>
          </w:p>
        </w:tc>
      </w:tr>
      <w:tr w:rsidR="00243EBB" w:rsidRPr="00243EBB" w:rsidTr="002F3540">
        <w:trPr>
          <w:trHeight w:hRule="exact" w:val="283"/>
        </w:trPr>
        <w:tc>
          <w:tcPr>
            <w:tcW w:w="528" w:type="dxa"/>
            <w:tcMar>
              <w:top w:w="28" w:type="dxa"/>
              <w:bottom w:w="28" w:type="dxa"/>
            </w:tcMar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2" w:type="dxa"/>
            <w:tcMar>
              <w:top w:w="28" w:type="dxa"/>
              <w:bottom w:w="28" w:type="dxa"/>
            </w:tcMar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4" w:type="dxa"/>
            <w:tcMar>
              <w:top w:w="28" w:type="dxa"/>
              <w:bottom w:w="28" w:type="dxa"/>
            </w:tcMar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Mar>
              <w:top w:w="28" w:type="dxa"/>
              <w:bottom w:w="28" w:type="dxa"/>
            </w:tcMar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Mar>
              <w:top w:w="28" w:type="dxa"/>
              <w:bottom w:w="28" w:type="dxa"/>
            </w:tcMar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243EBB" w:rsidRPr="00243EBB" w:rsidTr="002F3540">
        <w:trPr>
          <w:trHeight w:hRule="exact" w:val="283"/>
        </w:trPr>
        <w:tc>
          <w:tcPr>
            <w:tcW w:w="16304" w:type="dxa"/>
            <w:gridSpan w:val="9"/>
            <w:tcMar>
              <w:top w:w="57" w:type="dxa"/>
              <w:bottom w:w="57" w:type="dxa"/>
            </w:tcMar>
            <w:vAlign w:val="center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  <w:t xml:space="preserve">1. Рынок услуг </w:t>
            </w:r>
            <w:proofErr w:type="gramStart"/>
            <w:r w:rsidRPr="001C5BA8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1C5BA8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243EBB" w:rsidRPr="00243EBB" w:rsidTr="002F3540">
        <w:trPr>
          <w:trHeight w:hRule="exact" w:val="794"/>
        </w:trPr>
        <w:tc>
          <w:tcPr>
            <w:tcW w:w="16304" w:type="dxa"/>
            <w:gridSpan w:val="9"/>
            <w:tcMar>
              <w:top w:w="57" w:type="dxa"/>
              <w:bottom w:w="57" w:type="dxa"/>
            </w:tcMar>
            <w:vAlign w:val="center"/>
          </w:tcPr>
          <w:p w:rsidR="003D2625" w:rsidRPr="001C5BA8" w:rsidRDefault="002367EC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1 </w:t>
            </w:r>
            <w:proofErr w:type="gramStart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квартале</w:t>
            </w:r>
            <w:proofErr w:type="gramEnd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2020 года </w:t>
            </w:r>
            <w:r w:rsidR="003D2625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территории Находкинского городского округа работает 3 частных детских сада. Кроме того индивидуальные предприниматели оказывают услуги по присмотру и уходу за детьми. На текущий момент времени основная задача – получение лицензии индивидуальными предпринимателями с целью предоставления услуг дошкольного образования и получения финансирования из бюджета Приморского края.</w:t>
            </w:r>
          </w:p>
        </w:tc>
      </w:tr>
      <w:tr w:rsidR="00243EBB" w:rsidRPr="00243EBB" w:rsidTr="002F3540">
        <w:tc>
          <w:tcPr>
            <w:tcW w:w="528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92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Оказание организационно-методической и информационно-консультативной помощи образовательным организациям, реализующим основную общеобразовательную программу дошкольного образования, в условиях реализации федерального государственного стандарта дошкольного образования и оказывающим услуги по присмотру и уходу за детьми.</w:t>
            </w:r>
          </w:p>
        </w:tc>
        <w:tc>
          <w:tcPr>
            <w:tcW w:w="4824" w:type="dxa"/>
          </w:tcPr>
          <w:p w:rsidR="003D2625" w:rsidRPr="001F6B5D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Методистами МБУ «ИМЦ «Развитие» осуществляется методическое и психологическое сопровождение молодых специалистов муниципальных дошкольных образовательных организаций: проводятся индивидуальные консультации, занятия в детских садах и их анализ, работают «Школа молодого воспитателя», «Школа молодого методиста», «Школа педагогического актерского мастерства».</w:t>
            </w:r>
          </w:p>
          <w:p w:rsidR="003D2625" w:rsidRPr="001F6B5D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Для всех желающих воспитателей Находкинского городского округа методистами МБУ «ИМЦ «Развитие» </w:t>
            </w:r>
            <w:r w:rsidR="001F6B5D"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1 квартале 2020 года было </w:t>
            </w:r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</w:t>
            </w:r>
            <w:r w:rsidR="001F6B5D"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едено 17</w:t>
            </w:r>
            <w:r w:rsidR="002367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тематически</w:t>
            </w:r>
            <w:r w:rsidR="001F6B5D"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групповы</w:t>
            </w:r>
            <w:r w:rsidR="001F6B5D"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консультаци</w:t>
            </w:r>
            <w:r w:rsidR="001F6B5D"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запросам педагогов.</w:t>
            </w:r>
          </w:p>
          <w:p w:rsidR="003D2625" w:rsidRPr="00243EBB" w:rsidRDefault="001F6B5D" w:rsidP="001F6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ru-RU"/>
              </w:rPr>
            </w:pPr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1 </w:t>
            </w:r>
            <w:proofErr w:type="gramStart"/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квартале</w:t>
            </w:r>
            <w:proofErr w:type="gramEnd"/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2020 года был проведен </w:t>
            </w:r>
            <w:r w:rsidR="003D2625"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конкурс</w:t>
            </w:r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«Воспитатель года».</w:t>
            </w:r>
            <w:r w:rsidR="003D2625"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  <w:proofErr w:type="gramEnd"/>
          </w:p>
        </w:tc>
        <w:tc>
          <w:tcPr>
            <w:tcW w:w="1135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41" w:type="dxa"/>
            <w:gridSpan w:val="2"/>
          </w:tcPr>
          <w:p w:rsidR="003D2625" w:rsidRPr="001C5BA8" w:rsidRDefault="00EB27A9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</w:tr>
      <w:tr w:rsidR="00243EBB" w:rsidRPr="00243EBB" w:rsidTr="002F3540">
        <w:trPr>
          <w:trHeight w:val="113"/>
        </w:trPr>
        <w:tc>
          <w:tcPr>
            <w:tcW w:w="16304" w:type="dxa"/>
            <w:gridSpan w:val="9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  <w:t>2. Рынок услуг общего образования</w:t>
            </w:r>
          </w:p>
        </w:tc>
      </w:tr>
      <w:tr w:rsidR="00243EBB" w:rsidRPr="00243EBB" w:rsidTr="002F3540">
        <w:tc>
          <w:tcPr>
            <w:tcW w:w="16304" w:type="dxa"/>
            <w:gridSpan w:val="9"/>
          </w:tcPr>
          <w:p w:rsidR="003D2625" w:rsidRPr="001C5BA8" w:rsidRDefault="002367EC" w:rsidP="002367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1 </w:t>
            </w:r>
            <w:proofErr w:type="gramStart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квартале</w:t>
            </w:r>
            <w:proofErr w:type="gramEnd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2020 года </w:t>
            </w:r>
            <w:r w:rsidR="003D2625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территории Находкинского городского округа работа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</w:t>
            </w:r>
            <w:r w:rsidR="003D2625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частное образовательное учреждение «Центр непрерывного образования», которое оказывает услуги начального общего образования. Основная задача «Центра непрерывного образования» - увеличение численности обучающихся в ЧОУ за счет открытия 5-9 классов.</w:t>
            </w:r>
          </w:p>
        </w:tc>
      </w:tr>
      <w:tr w:rsidR="00243EBB" w:rsidRPr="00243EBB" w:rsidTr="002F3540">
        <w:tc>
          <w:tcPr>
            <w:tcW w:w="528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92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Информирование населения Находкинского городского округа об услугах общего образования на территории Находкинского городского округа</w:t>
            </w:r>
          </w:p>
        </w:tc>
        <w:tc>
          <w:tcPr>
            <w:tcW w:w="4824" w:type="dxa"/>
          </w:tcPr>
          <w:p w:rsidR="003D2625" w:rsidRPr="00243EBB" w:rsidRDefault="003D2625" w:rsidP="003D2625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</w:rPr>
            </w:pPr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Информирование населения Находкинского городского округа об услугах общего образования на территории Находкинского городского округа осуществляется в средствах массовой информации, на сайтах общеобразовательных учреждений, управления образования, на информационных стендах в общеобразовательных и дошкольных образовательных учреждениях Находкинского городского округа.</w:t>
            </w:r>
          </w:p>
        </w:tc>
        <w:tc>
          <w:tcPr>
            <w:tcW w:w="354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общеобразовательные программы - образовательные программы начального общего, основного общего, среднего общего образования </w:t>
            </w:r>
          </w:p>
        </w:tc>
        <w:tc>
          <w:tcPr>
            <w:tcW w:w="1135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994" w:type="dxa"/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C5BA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0,64</w:t>
            </w:r>
          </w:p>
        </w:tc>
        <w:tc>
          <w:tcPr>
            <w:tcW w:w="993" w:type="dxa"/>
            <w:gridSpan w:val="2"/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C5BA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99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3EBB" w:rsidRPr="00243EBB" w:rsidTr="002F3540">
        <w:trPr>
          <w:trHeight w:val="20"/>
        </w:trPr>
        <w:tc>
          <w:tcPr>
            <w:tcW w:w="16304" w:type="dxa"/>
            <w:gridSpan w:val="9"/>
          </w:tcPr>
          <w:p w:rsidR="003D2625" w:rsidRPr="000A5F79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</w:pPr>
            <w:r w:rsidRPr="000A5F79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3. </w:t>
            </w:r>
            <w:r w:rsidRPr="000A5F79"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eastAsia="ru-RU"/>
              </w:rPr>
              <w:t xml:space="preserve">Рынок услуг </w:t>
            </w:r>
            <w:proofErr w:type="gramStart"/>
            <w:r w:rsidRPr="000A5F79"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0A5F79"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eastAsia="ru-RU"/>
              </w:rPr>
              <w:t xml:space="preserve"> образования детей</w:t>
            </w:r>
          </w:p>
        </w:tc>
      </w:tr>
      <w:tr w:rsidR="00243EBB" w:rsidRPr="00243EBB" w:rsidTr="002F3540">
        <w:tc>
          <w:tcPr>
            <w:tcW w:w="16304" w:type="dxa"/>
            <w:gridSpan w:val="9"/>
          </w:tcPr>
          <w:p w:rsidR="003D2625" w:rsidRPr="000A5F79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5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Рынок услуг дополнительного образования представлен 18 организациями, оказывающими услуги дополнительного образования детей различной направленности. С учетом наличия муниципальных учреждений дополнительного образования, основные задачи - сохранение количества организаций и индивидуальных предпринимателей, занимающихся дополнительным образованием детей</w:t>
            </w:r>
          </w:p>
        </w:tc>
      </w:tr>
      <w:tr w:rsidR="00243EBB" w:rsidRPr="00243EBB" w:rsidTr="002F3540">
        <w:trPr>
          <w:trHeight w:val="964"/>
        </w:trPr>
        <w:tc>
          <w:tcPr>
            <w:tcW w:w="528" w:type="dxa"/>
          </w:tcPr>
          <w:p w:rsidR="003D2625" w:rsidRPr="000A5F79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5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92" w:type="dxa"/>
          </w:tcPr>
          <w:p w:rsidR="003D2625" w:rsidRPr="000A5F79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5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Информирование населения Находкинского городского округа об услугах дополнительного образования на территории Находкинского городского округа</w:t>
            </w:r>
          </w:p>
        </w:tc>
        <w:tc>
          <w:tcPr>
            <w:tcW w:w="4824" w:type="dxa"/>
          </w:tcPr>
          <w:p w:rsidR="003D2625" w:rsidRPr="001F6B5D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Информирование населения об услугах дополнительного образования на территории Находкинского городского округа осуществляется в средствах массовой информации, на сайтах учреждений дополнительного образования, на информационных стендах в общеобразовательных и дошкольных образовательных учреждениях Находкинского городского округа. В сети Интернет и в печатных изданиях (газета «Ведомости Находки») размещаются информационные материалы о проведении массовых акций, соревнований и праздников, о победителях различных конкурсов. Так был запущен АИС «Навигатор дополнительного образования детей Приморского края».</w:t>
            </w:r>
          </w:p>
          <w:p w:rsidR="003D2625" w:rsidRPr="00243EBB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ru-RU"/>
              </w:rPr>
            </w:pPr>
            <w:r w:rsidRPr="001F6B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Кроме того учреждениями дополнительного образования проводятся ярмарки дополнительного образования и дни открытых дверей.</w:t>
            </w:r>
          </w:p>
        </w:tc>
        <w:tc>
          <w:tcPr>
            <w:tcW w:w="3544" w:type="dxa"/>
          </w:tcPr>
          <w:p w:rsidR="003D2625" w:rsidRPr="000A5F79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5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организаций частной формы собственности в сфере услуг </w:t>
            </w:r>
            <w:proofErr w:type="gramStart"/>
            <w:r w:rsidRPr="000A5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0A5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образования детей</w:t>
            </w:r>
          </w:p>
        </w:tc>
        <w:tc>
          <w:tcPr>
            <w:tcW w:w="1135" w:type="dxa"/>
          </w:tcPr>
          <w:p w:rsidR="003D2625" w:rsidRPr="000A5F79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A5F7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994" w:type="dxa"/>
          </w:tcPr>
          <w:p w:rsidR="003D2625" w:rsidRPr="000A5F79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5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</w:tcPr>
          <w:p w:rsidR="003D2625" w:rsidRPr="000A5F79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5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dxa"/>
          </w:tcPr>
          <w:p w:rsidR="003D2625" w:rsidRPr="00243EBB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ru-RU"/>
              </w:rPr>
            </w:pPr>
          </w:p>
        </w:tc>
      </w:tr>
      <w:tr w:rsidR="00243EBB" w:rsidRPr="00243EBB" w:rsidTr="002F3540">
        <w:trPr>
          <w:trHeight w:val="283"/>
        </w:trPr>
        <w:tc>
          <w:tcPr>
            <w:tcW w:w="16304" w:type="dxa"/>
            <w:gridSpan w:val="9"/>
            <w:vAlign w:val="center"/>
          </w:tcPr>
          <w:p w:rsidR="003D2625" w:rsidRPr="000A5F79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</w:pPr>
            <w:r w:rsidRPr="000A5F79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  <w:t>4. Рынок услуг детского отдыха и оздоровления</w:t>
            </w:r>
          </w:p>
        </w:tc>
      </w:tr>
      <w:tr w:rsidR="00243EBB" w:rsidRPr="00243EBB" w:rsidTr="002F3540">
        <w:trPr>
          <w:trHeight w:val="624"/>
        </w:trPr>
        <w:tc>
          <w:tcPr>
            <w:tcW w:w="16304" w:type="dxa"/>
            <w:gridSpan w:val="9"/>
          </w:tcPr>
          <w:p w:rsidR="003D2625" w:rsidRPr="000A5F79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5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Услуги по организации летнего отдыха детей оказывают 8 частных загородных лагерей, 2 палаточных лагеря. В настоящее время необходимо решение вопроса об увеличении компенсации родителям части стоимости путевки.  Основная  задача - сохранение числа организаций и индивидуальных предпринимателей, занимающихся организацией летнего отдыха детей.</w:t>
            </w:r>
          </w:p>
        </w:tc>
      </w:tr>
      <w:tr w:rsidR="00243EBB" w:rsidRPr="00243EBB" w:rsidTr="002F3540">
        <w:trPr>
          <w:trHeight w:val="2337"/>
        </w:trPr>
        <w:tc>
          <w:tcPr>
            <w:tcW w:w="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32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необходимых условий для организации отдыха и оздоровления детей и подростков, обеспечение их занятости в период каникул </w:t>
            </w:r>
          </w:p>
        </w:tc>
        <w:tc>
          <w:tcPr>
            <w:tcW w:w="48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территории Находкинского городского округа в летний каникулярный период 20</w:t>
            </w:r>
            <w:r w:rsidR="001F6B5D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 </w:t>
            </w:r>
            <w:r w:rsidR="001F6B5D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планируется открыть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35 </w:t>
            </w:r>
            <w:r w:rsidR="001F6B5D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объектов летнего отдыха, 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  <w:p w:rsidR="000A5F79" w:rsidRPr="001C5BA8" w:rsidRDefault="003D2625" w:rsidP="000A5F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1F6B5D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загородных оздоровительных лагерей: </w:t>
            </w:r>
            <w:proofErr w:type="gramStart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«Отрада», «Бухта Отрада», «Альбатрос», «</w:t>
            </w:r>
            <w:proofErr w:type="spellStart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Шепалово</w:t>
            </w:r>
            <w:proofErr w:type="spellEnd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», «Мечта», «Радуга» «РОСТ», </w:t>
            </w:r>
            <w:r w:rsidR="001F6B5D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="001F6B5D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Стайлинг</w:t>
            </w:r>
            <w:proofErr w:type="spellEnd"/>
            <w:r w:rsidR="001F6B5D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A5F79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«Спартанец» готовых 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охва</w:t>
            </w:r>
            <w:r w:rsidR="000A5F79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тить 6 49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детей;</w:t>
            </w:r>
            <w:r w:rsidR="000A5F79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 палаточных лагеря (675 детей),  24 лагеря с дневным пребыванием детей (во всех муниципальных общеобразовательных учреждениях) с  охватом  6,5 тыс. детей.</w:t>
            </w:r>
            <w:proofErr w:type="gramEnd"/>
          </w:p>
          <w:p w:rsidR="003D2625" w:rsidRPr="001C5BA8" w:rsidRDefault="000A5F79" w:rsidP="000A5F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летний каникулярный период 2020 года планируется трудоустроить 265 несовершеннолетних в муниципальных учреждениях культуры и образования Находкинского городского округа.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C5BA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3EBB" w:rsidRPr="00243EBB" w:rsidTr="002F3540">
        <w:tc>
          <w:tcPr>
            <w:tcW w:w="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2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Сохранение сети муниципальных организаций детского отдыха и оздоровления на территории Находкинского городского округа</w:t>
            </w:r>
          </w:p>
        </w:tc>
        <w:tc>
          <w:tcPr>
            <w:tcW w:w="48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0A5F79" w:rsidP="000A5F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летние каникулы 2020 года планируется открыть</w:t>
            </w:r>
            <w:r w:rsidR="003D2625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24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3D2625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лагеря с дневным пребыванием детей, организованных на базе муниципальных бюджетных общеобразовательных учреждений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</w:t>
            </w:r>
            <w:r w:rsidR="003D2625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палаточный лагерь «Гелиос», организованный МБОУ СОШ № 25 «Гелиос».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3EBB" w:rsidRPr="00243EBB" w:rsidTr="002F3540">
        <w:tc>
          <w:tcPr>
            <w:tcW w:w="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2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малозатратных</w:t>
            </w:r>
            <w:proofErr w:type="spellEnd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форм организованного отдыха, оздоровления и занятости детей и молодежи, в том числе детей старше 14 лет</w:t>
            </w:r>
          </w:p>
        </w:tc>
        <w:tc>
          <w:tcPr>
            <w:tcW w:w="48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3EBB" w:rsidRPr="001C5BA8" w:rsidRDefault="003D2625" w:rsidP="0024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r w:rsidR="00243EBB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июле-августе 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243EBB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  <w:r w:rsidR="00243EBB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рамках летней оздоровительной кампании </w:t>
            </w:r>
            <w:r w:rsidR="00243EBB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будут организованы разнообразные 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профильные смены </w:t>
            </w:r>
            <w:proofErr w:type="gramStart"/>
            <w:r w:rsidR="00243EBB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археологическая</w:t>
            </w:r>
            <w:proofErr w:type="gramEnd"/>
            <w:r w:rsidR="00243EBB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туристическая, спортивная, интеллектуальная, КВН, здорового образа жизни, добровольческая.</w:t>
            </w:r>
          </w:p>
          <w:p w:rsidR="003D2625" w:rsidRPr="001C5BA8" w:rsidRDefault="00243EBB" w:rsidP="00876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Комплектование профильных смен будет осуществляться в соответствии с Положением о комплектовании профильных смен, проводимых на территории Находкинского городского округа, утвержденного постановлением администрации Находкинского городского округа от 08.06.2017 №687.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C5BA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C5BA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3EBB" w:rsidRPr="00243EBB" w:rsidTr="002F3540">
        <w:tc>
          <w:tcPr>
            <w:tcW w:w="16304" w:type="dxa"/>
            <w:gridSpan w:val="9"/>
          </w:tcPr>
          <w:p w:rsidR="003D2625" w:rsidRPr="00243EBB" w:rsidRDefault="003D2625" w:rsidP="00900A12">
            <w:pPr>
              <w:pageBreakBefore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5. Рынок медицинских услуг</w:t>
            </w:r>
          </w:p>
        </w:tc>
      </w:tr>
      <w:tr w:rsidR="00243EBB" w:rsidRPr="00243EBB" w:rsidTr="002F3540">
        <w:tc>
          <w:tcPr>
            <w:tcW w:w="528" w:type="dxa"/>
          </w:tcPr>
          <w:p w:rsidR="003D2625" w:rsidRPr="00900A12" w:rsidRDefault="003D2625" w:rsidP="00900A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292" w:type="dxa"/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доли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4824" w:type="dxa"/>
          </w:tcPr>
          <w:p w:rsidR="003D2625" w:rsidRPr="00900A12" w:rsidRDefault="003D2625" w:rsidP="00900A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900A12"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="00900A12"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квартале</w:t>
            </w:r>
            <w:proofErr w:type="gramEnd"/>
            <w:r w:rsidR="00900A12"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00A12"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900A12"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Находкинском городском округе медицинскую деятельность осуществляли 9</w:t>
            </w:r>
            <w:r w:rsidR="00900A12"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хозяйствующих субъектов и 14 индивидуальных предпринимателей. В реализации территориальной программы Приморского края обязательного медицинского страхования участвовало 1</w:t>
            </w:r>
            <w:r w:rsidR="00900A12"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организаций, в том числе </w:t>
            </w:r>
            <w:r w:rsidR="00900A12"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медицинских организаций частной системы здравоохранения, что составляет 6</w:t>
            </w:r>
            <w:r w:rsidR="00900A12"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00A12"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всех медицинских организаций, участвующих в территориальной программе обязательного медицинского страхования.</w:t>
            </w:r>
          </w:p>
        </w:tc>
        <w:tc>
          <w:tcPr>
            <w:tcW w:w="3544" w:type="dxa"/>
          </w:tcPr>
          <w:p w:rsidR="003D2625" w:rsidRPr="00900A12" w:rsidRDefault="003D2625" w:rsidP="003D26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135" w:type="dxa"/>
          </w:tcPr>
          <w:p w:rsidR="003D2625" w:rsidRPr="00900A12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A1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4" w:type="dxa"/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93" w:type="dxa"/>
            <w:gridSpan w:val="2"/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4" w:type="dxa"/>
          </w:tcPr>
          <w:p w:rsidR="003D2625" w:rsidRPr="00900A12" w:rsidRDefault="00900A12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243EBB" w:rsidRPr="00243EBB" w:rsidTr="002F3540">
        <w:tc>
          <w:tcPr>
            <w:tcW w:w="16304" w:type="dxa"/>
            <w:gridSpan w:val="9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  <w:t>Рынок психолого-педагогического сопровождения детей с ограниченными возможностями здоровья</w:t>
            </w:r>
          </w:p>
        </w:tc>
      </w:tr>
      <w:tr w:rsidR="00243EBB" w:rsidRPr="00243EBB" w:rsidTr="002F3540">
        <w:tc>
          <w:tcPr>
            <w:tcW w:w="528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92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Психолого-педагогическое сопровождение детей с ОВЗ и инвалидов</w:t>
            </w:r>
          </w:p>
        </w:tc>
        <w:tc>
          <w:tcPr>
            <w:tcW w:w="4824" w:type="dxa"/>
          </w:tcPr>
          <w:p w:rsidR="003D2625" w:rsidRPr="001C5BA8" w:rsidRDefault="00900640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1 </w:t>
            </w:r>
            <w:proofErr w:type="gramStart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квартале</w:t>
            </w:r>
            <w:proofErr w:type="gramEnd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2020 года </w:t>
            </w:r>
            <w:r w:rsidR="003D2625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14 образовательных учреждениях Находкинского городского округа работают психологи. В МБДОУ «Центр развития ребенка – детский сад № 27», МБДОУ «Центр развития ребенка – детский сад № 65» осуществляют деятельность </w:t>
            </w:r>
            <w:proofErr w:type="gramStart"/>
            <w:r w:rsidR="003D2625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группы полного дня</w:t>
            </w:r>
            <w:proofErr w:type="gramEnd"/>
            <w:r w:rsidR="003D2625"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а в  МБДОУ «Центр развития ребенка – детский сад № 27», МБДОУ «Детский сад № 42» - группа кратковременного пребывания, специализирующиеся на работе с детьми с ОВЗ и инвалидами. </w:t>
            </w:r>
          </w:p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данной категорией детей также работают следующие некоммерческие организации: образовательный </w:t>
            </w:r>
            <w:proofErr w:type="spellStart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Монтессори</w:t>
            </w:r>
            <w:proofErr w:type="spellEnd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центр «Дети с небес», центр развития «Содружество», семейный клуб «Мастерская Детства», детский центр «</w:t>
            </w:r>
            <w:proofErr w:type="spellStart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Осминожка</w:t>
            </w:r>
            <w:proofErr w:type="spellEnd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детский центр развития «Созвездие».</w:t>
            </w:r>
          </w:p>
          <w:p w:rsidR="003D2625" w:rsidRPr="001C5BA8" w:rsidRDefault="003D2625" w:rsidP="00900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базе МБУ «ИМЦ «Развитие» работает психолог, который осуществляет следующие функции: кураторство ПМПК; отслеживание детей по группам кратковременного пребывания; консультирование родителей и педагогов; кураторство </w:t>
            </w:r>
            <w:proofErr w:type="spellStart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стажировочной</w:t>
            </w:r>
            <w:proofErr w:type="spellEnd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площадки на базе МБДОУ «Центр развития ребенка – детский сад № 27».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5" w:type="dxa"/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C5BA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99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3EBB" w:rsidRPr="00243EBB" w:rsidTr="002F3540">
        <w:tc>
          <w:tcPr>
            <w:tcW w:w="528" w:type="dxa"/>
          </w:tcPr>
          <w:p w:rsidR="003D2625" w:rsidRPr="001C5BA8" w:rsidRDefault="003D2625" w:rsidP="003D2625">
            <w:pPr>
              <w:pageBreakBefore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292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Индивидуальное сопровождение детей с ОВЗ и инвалидов</w:t>
            </w:r>
          </w:p>
        </w:tc>
        <w:tc>
          <w:tcPr>
            <w:tcW w:w="4824" w:type="dxa"/>
          </w:tcPr>
          <w:p w:rsidR="003D2625" w:rsidRPr="00900640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6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Индивидуальное сопровождение детей с ОВЗ и инвалидами осуществляется педагогами на основе рекомендаций ПМПК и обращений родителей и педагогов. Психолог МБУ «ИМЦ «Развитие» ведет индивидуальный прием детей по обращению родителей (бесплатно).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</w:t>
            </w:r>
          </w:p>
        </w:tc>
        <w:tc>
          <w:tcPr>
            <w:tcW w:w="1135" w:type="dxa"/>
            <w:vMerge w:val="restart"/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C5BA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99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3EBB" w:rsidRPr="00243EBB" w:rsidTr="002F3540">
        <w:tc>
          <w:tcPr>
            <w:tcW w:w="528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92" w:type="dxa"/>
          </w:tcPr>
          <w:p w:rsidR="003D2625" w:rsidRPr="001C5BA8" w:rsidRDefault="003D2625" w:rsidP="003D262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C5BA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Диагностические мероприятия по выявлению детей с ОВЗ</w:t>
            </w:r>
          </w:p>
        </w:tc>
        <w:tc>
          <w:tcPr>
            <w:tcW w:w="4824" w:type="dxa"/>
          </w:tcPr>
          <w:p w:rsidR="003D2625" w:rsidRPr="00900640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06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Особые образовательные потребности выявляются педагогом, который рекомендует родителям (законным представителям) обратиться в Психолого-медико-педагогическую комиссию Находкинского городского округа (ПМПК). ПМПК по результатам диагностических процедур (обследование) дает родителям (законным представителям) рекомендации для нивелирования выявленных проблем, а также </w:t>
            </w:r>
            <w:proofErr w:type="gramStart"/>
            <w:r w:rsidRPr="009006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разрабатывает адаптивную образовательную программу для каждого ребенка и составляет</w:t>
            </w:r>
            <w:proofErr w:type="gramEnd"/>
            <w:r w:rsidRPr="009006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индивидуально-личностный маршрут. Родители (законные представители) по своему желанию могут передать данные рекомендации в образовательное учреждение, в которых процесс обучения ребенка данной категории будет корректироваться в соответствие рекомендаций ПМПК.</w:t>
            </w:r>
          </w:p>
        </w:tc>
        <w:tc>
          <w:tcPr>
            <w:tcW w:w="3544" w:type="dxa"/>
            <w:vMerge/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C5BA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C5BA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3EBB" w:rsidRPr="00243EBB" w:rsidTr="002F3540">
        <w:tc>
          <w:tcPr>
            <w:tcW w:w="528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92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Использование технологий по социализации и реабилитации детей с ОВЗ и инвалидов</w:t>
            </w:r>
          </w:p>
        </w:tc>
        <w:tc>
          <w:tcPr>
            <w:tcW w:w="482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IB-технология, элементы </w:t>
            </w:r>
            <w:proofErr w:type="spellStart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Монтессори</w:t>
            </w:r>
            <w:proofErr w:type="spellEnd"/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педагогики, занятия по коррекционным развивающим программам для детей дошкольного и младшего школьного возраста и т.д.</w:t>
            </w:r>
          </w:p>
        </w:tc>
        <w:tc>
          <w:tcPr>
            <w:tcW w:w="3544" w:type="dxa"/>
            <w:vMerge/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D2625" w:rsidRPr="001C5BA8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3D2625" w:rsidRPr="001C5BA8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3EBB" w:rsidRPr="00243EBB" w:rsidTr="002F3540">
        <w:tc>
          <w:tcPr>
            <w:tcW w:w="16304" w:type="dxa"/>
            <w:gridSpan w:val="9"/>
          </w:tcPr>
          <w:p w:rsidR="003D2625" w:rsidRPr="00243EBB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ru-RU"/>
              </w:rPr>
            </w:pPr>
            <w:r w:rsidRPr="00396C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 Рынок выполнения работ по благоустройству городской среды</w:t>
            </w:r>
          </w:p>
        </w:tc>
      </w:tr>
      <w:tr w:rsidR="00396C76" w:rsidRPr="00243EBB" w:rsidTr="002F3540">
        <w:tc>
          <w:tcPr>
            <w:tcW w:w="528" w:type="dxa"/>
          </w:tcPr>
          <w:p w:rsidR="00396C76" w:rsidRPr="00396C76" w:rsidRDefault="00396C76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6C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92" w:type="dxa"/>
          </w:tcPr>
          <w:p w:rsidR="00396C76" w:rsidRPr="00396C76" w:rsidRDefault="00396C76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6C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Реализация муниципальной политики в сфере организации услуг по благоустройству городской среды в части заключения муниципальных контрактов на благоустройство городской среды (уборка муниципальных территорий) на конкурсной основе </w:t>
            </w:r>
          </w:p>
        </w:tc>
        <w:tc>
          <w:tcPr>
            <w:tcW w:w="4824" w:type="dxa"/>
          </w:tcPr>
          <w:p w:rsidR="00396C76" w:rsidRPr="003D2625" w:rsidRDefault="003D1992" w:rsidP="00865A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39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квартале</w:t>
            </w:r>
            <w:proofErr w:type="gramEnd"/>
            <w:r w:rsidR="0039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6C76"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9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96C76"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96C76"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благоустройства городской </w:t>
            </w:r>
            <w:r w:rsidR="0039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планируется выполнить </w:t>
            </w:r>
            <w:r w:rsidR="00396C76"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39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="00396C76"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96C76" w:rsidRPr="003D2625" w:rsidRDefault="00396C76" w:rsidP="00865A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озеленени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городских территорий;</w:t>
            </w:r>
          </w:p>
          <w:p w:rsidR="00396C76" w:rsidRPr="003D2625" w:rsidRDefault="00396C76" w:rsidP="00865A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комплексн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</w:t>
            </w: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скверов и парка в рамках национального проекта формирования современной городской среды;</w:t>
            </w:r>
          </w:p>
          <w:p w:rsidR="00396C76" w:rsidRPr="003D2625" w:rsidRDefault="00396C76" w:rsidP="00865A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благоустройств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дворовых территорий в рамках подпрограммы «1000 дворов»;</w:t>
            </w:r>
          </w:p>
          <w:p w:rsidR="00396C76" w:rsidRPr="003D2625" w:rsidRDefault="00396C76" w:rsidP="00865A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ремонт элементов благоустройства.</w:t>
            </w:r>
          </w:p>
        </w:tc>
        <w:tc>
          <w:tcPr>
            <w:tcW w:w="3544" w:type="dxa"/>
          </w:tcPr>
          <w:p w:rsidR="00396C76" w:rsidRPr="00243EBB" w:rsidRDefault="00396C76" w:rsidP="003D2625">
            <w:pPr>
              <w:spacing w:after="0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396C7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135" w:type="dxa"/>
          </w:tcPr>
          <w:p w:rsidR="00396C76" w:rsidRPr="003D1992" w:rsidRDefault="00396C76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99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4" w:type="dxa"/>
          </w:tcPr>
          <w:p w:rsidR="00396C76" w:rsidRPr="003D1992" w:rsidRDefault="00396C76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396C76" w:rsidRPr="003D1992" w:rsidRDefault="00396C76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</w:tcPr>
          <w:p w:rsidR="00396C76" w:rsidRPr="003D1992" w:rsidRDefault="00396C76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C76" w:rsidRPr="00243EBB" w:rsidTr="002F3540">
        <w:tc>
          <w:tcPr>
            <w:tcW w:w="528" w:type="dxa"/>
          </w:tcPr>
          <w:p w:rsidR="00396C76" w:rsidRPr="00396C76" w:rsidRDefault="00396C76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6C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3292" w:type="dxa"/>
          </w:tcPr>
          <w:p w:rsidR="00396C76" w:rsidRPr="00396C76" w:rsidRDefault="00396C76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6C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муниципальных контрактов на благоустройство городской среды (озеленение и благоустройство территорий) на конкурсной основе</w:t>
            </w:r>
          </w:p>
        </w:tc>
        <w:tc>
          <w:tcPr>
            <w:tcW w:w="4824" w:type="dxa"/>
          </w:tcPr>
          <w:p w:rsidR="00396C76" w:rsidRDefault="003D1992" w:rsidP="00865A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 1 муниципальный контракт на озеленение с предприятием формы ООО. 2 контракта на озеленение и 1 контракт на благоустройство парка в стадии заключения с предприятиями (ООО – 2, ИП -1). </w:t>
            </w:r>
          </w:p>
          <w:p w:rsidR="00396C76" w:rsidRPr="003D2625" w:rsidRDefault="00396C76" w:rsidP="00865A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муниципальные контракты заключены по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3544" w:type="dxa"/>
          </w:tcPr>
          <w:p w:rsidR="00396C76" w:rsidRPr="003D1992" w:rsidRDefault="00396C76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96C76" w:rsidRPr="003D1992" w:rsidRDefault="00396C76" w:rsidP="003D2625">
            <w:pPr>
              <w:spacing w:after="0"/>
              <w:ind w:left="-60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96C76" w:rsidRPr="003D1992" w:rsidRDefault="00396C76" w:rsidP="003D2625">
            <w:pPr>
              <w:widowControl w:val="0"/>
              <w:autoSpaceDE w:val="0"/>
              <w:autoSpaceDN w:val="0"/>
              <w:spacing w:after="0" w:line="240" w:lineRule="auto"/>
              <w:ind w:left="-62" w:hanging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96C76" w:rsidRPr="003D1992" w:rsidRDefault="00396C76" w:rsidP="003D2625">
            <w:pPr>
              <w:widowControl w:val="0"/>
              <w:autoSpaceDE w:val="0"/>
              <w:autoSpaceDN w:val="0"/>
              <w:spacing w:after="0" w:line="240" w:lineRule="auto"/>
              <w:ind w:left="-62" w:hanging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396C76" w:rsidRPr="003D1992" w:rsidRDefault="00396C76" w:rsidP="003D2625">
            <w:pPr>
              <w:widowControl w:val="0"/>
              <w:autoSpaceDE w:val="0"/>
              <w:autoSpaceDN w:val="0"/>
              <w:spacing w:after="0" w:line="240" w:lineRule="auto"/>
              <w:ind w:left="-62" w:hanging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EBB" w:rsidRPr="00243EBB" w:rsidTr="002F3540">
        <w:tc>
          <w:tcPr>
            <w:tcW w:w="16304" w:type="dxa"/>
            <w:gridSpan w:val="9"/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243EBB" w:rsidRPr="00243EBB" w:rsidTr="002F3540">
        <w:tc>
          <w:tcPr>
            <w:tcW w:w="528" w:type="dxa"/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292" w:type="dxa"/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механизма привлечения перевозчиков к выполнению регулярных пассажирских перевозок автомобильным транспортом на городских и пригородных муниципальных маршрутах на территории Находкинского городского округа путем проведения аукционов конкурсов</w:t>
            </w:r>
          </w:p>
        </w:tc>
        <w:tc>
          <w:tcPr>
            <w:tcW w:w="4824" w:type="dxa"/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квартале </w:t>
            </w: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года</w:t>
            </w: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городские и пригородные маршруты регулярных перевозок пассажиров и багажа автомобильным транспортом на территории Находкинского городского округа выполнялись по результатам конкурса, прошедшего в 2014 году, пятью автотранспортными компаниями частной формы собственности:</w:t>
            </w:r>
            <w:proofErr w:type="gramEnd"/>
          </w:p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ООО «Центр развития спорта» («ЦРС»),</w:t>
            </w:r>
          </w:p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ООО «АТП НСРЗ»,</w:t>
            </w:r>
          </w:p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ООО «Ориент-Авто», </w:t>
            </w:r>
          </w:p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ООО «Авто-Экспресс Прим» (АЭП), </w:t>
            </w:r>
          </w:p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ООО «Приморское пассажирское автотранспортное предприятие» («ПП АТП»). </w:t>
            </w:r>
          </w:p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выполнения регулярных перевозок пассажиров и багажа на муниципальных маршрутах автоперевозчики предоставляли в эксплуатацию 131</w:t>
            </w:r>
            <w:r w:rsid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автобус:</w:t>
            </w:r>
          </w:p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«ЦРС» -83 ед., </w:t>
            </w:r>
          </w:p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«Ориент-Авто» -11ед., </w:t>
            </w:r>
          </w:p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«АТП НСРЗ» - 1 ед., </w:t>
            </w:r>
          </w:p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«АЭП» - 16 ед., </w:t>
            </w:r>
          </w:p>
          <w:p w:rsidR="003D2625" w:rsidRPr="00900A12" w:rsidRDefault="003D2625" w:rsidP="00900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«ППАТП» - 20 ед. </w:t>
            </w:r>
          </w:p>
        </w:tc>
        <w:tc>
          <w:tcPr>
            <w:tcW w:w="3544" w:type="dxa"/>
          </w:tcPr>
          <w:p w:rsidR="003D2625" w:rsidRPr="00900A12" w:rsidRDefault="003D2625" w:rsidP="003D26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A12">
              <w:rPr>
                <w:rFonts w:ascii="Times New Roman" w:eastAsia="Calibri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35" w:type="dxa"/>
          </w:tcPr>
          <w:p w:rsidR="003D2625" w:rsidRPr="00900A12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A1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4" w:type="dxa"/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</w:tcPr>
          <w:p w:rsidR="003D2625" w:rsidRPr="00243EBB" w:rsidRDefault="00900A12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43EBB" w:rsidRPr="00243EBB" w:rsidTr="002F3540">
        <w:trPr>
          <w:trHeight w:val="1134"/>
        </w:trPr>
        <w:tc>
          <w:tcPr>
            <w:tcW w:w="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2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900A12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A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и поддержание в актуальном состоянии на сайте Находкинского городского округа реестра муниципальных маршрутов регулярных перевозок пассажиров </w:t>
            </w:r>
          </w:p>
        </w:tc>
        <w:tc>
          <w:tcPr>
            <w:tcW w:w="48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 муниципальных маршрутов регулярных перевозок пассажиров и багажа </w:t>
            </w:r>
            <w:proofErr w:type="gramStart"/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 на сайте </w:t>
            </w:r>
            <w:r w:rsidR="00646171" w:rsidRPr="00646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Находкинского городского округа </w:t>
            </w:r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постоянно поддерживается</w:t>
            </w:r>
            <w:proofErr w:type="gramEnd"/>
            <w:r w:rsidRPr="00900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актуальном состоянии. </w:t>
            </w:r>
            <w:hyperlink r:id="rId7" w:history="1">
              <w:r w:rsidR="00926EBE" w:rsidRPr="00926EB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https://www.nakhodka-city.ru/administration/structure/docx/?sid=24&amp;uid=194</w:t>
              </w:r>
            </w:hyperlink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900A12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900A12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625" w:rsidRPr="00900A1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EBB" w:rsidRPr="00243EBB" w:rsidTr="002F3540">
        <w:tc>
          <w:tcPr>
            <w:tcW w:w="16304" w:type="dxa"/>
            <w:gridSpan w:val="9"/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Рынок жилищного строительства</w:t>
            </w:r>
          </w:p>
        </w:tc>
      </w:tr>
      <w:tr w:rsidR="00243EBB" w:rsidRPr="00243EBB" w:rsidTr="002F3540">
        <w:tc>
          <w:tcPr>
            <w:tcW w:w="528" w:type="dxa"/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292" w:type="dxa"/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перечня выданных разрешений на строительство</w:t>
            </w:r>
          </w:p>
        </w:tc>
        <w:tc>
          <w:tcPr>
            <w:tcW w:w="4824" w:type="dxa"/>
            <w:tcBorders>
              <w:right w:val="single" w:sz="4" w:space="0" w:color="auto"/>
            </w:tcBorders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01.11.2019, далее на постоянной основе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жилищного строительства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EF5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EBB" w:rsidRPr="00243EBB" w:rsidTr="002F3540">
        <w:tc>
          <w:tcPr>
            <w:tcW w:w="528" w:type="dxa"/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292" w:type="dxa"/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Находкинского городского округа реестра типовых ошибок при выдаче разрешений на строительство.</w:t>
            </w:r>
          </w:p>
        </w:tc>
        <w:tc>
          <w:tcPr>
            <w:tcW w:w="4824" w:type="dxa"/>
            <w:tcBorders>
              <w:right w:val="single" w:sz="4" w:space="0" w:color="auto"/>
            </w:tcBorders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https://old.nakhodka-city.ru/files/zeml/Reestr_tipovyh_oshibok.docx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3EBB" w:rsidRPr="00243EBB" w:rsidTr="002F3540">
        <w:trPr>
          <w:trHeight w:val="193"/>
        </w:trPr>
        <w:tc>
          <w:tcPr>
            <w:tcW w:w="16304" w:type="dxa"/>
            <w:gridSpan w:val="9"/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243EBB" w:rsidRPr="00243EBB" w:rsidTr="002F3540">
        <w:trPr>
          <w:trHeight w:val="907"/>
        </w:trPr>
        <w:tc>
          <w:tcPr>
            <w:tcW w:w="528" w:type="dxa"/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292" w:type="dxa"/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перечня выданных разрешений на строительство</w:t>
            </w:r>
          </w:p>
        </w:tc>
        <w:tc>
          <w:tcPr>
            <w:tcW w:w="4824" w:type="dxa"/>
          </w:tcPr>
          <w:p w:rsidR="003D2625" w:rsidRPr="00405EF5" w:rsidRDefault="00815549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3D2625" w:rsidRPr="00405EF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</w:t>
              </w:r>
              <w:r w:rsidR="003D2625" w:rsidRPr="00405EF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t</w:t>
              </w:r>
              <w:r w:rsidR="003D2625" w:rsidRPr="00405EF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ps://www.nakhodka-city.ru/docs/2019/12/2019129102071_684_372.pdf</w:t>
              </w:r>
            </w:hyperlink>
            <w:r w:rsidR="003D2625"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EF5">
              <w:rPr>
                <w:rFonts w:ascii="Times New Roman" w:eastAsia="Calibri" w:hAnsi="Times New Roman" w:cs="Times New Roman"/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EF5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625" w:rsidRPr="00405EF5" w:rsidRDefault="00405EF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43EBB" w:rsidRPr="00243EBB" w:rsidTr="002F3540">
        <w:trPr>
          <w:trHeight w:val="907"/>
        </w:trPr>
        <w:tc>
          <w:tcPr>
            <w:tcW w:w="528" w:type="dxa"/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4" w:colLast="7"/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292" w:type="dxa"/>
          </w:tcPr>
          <w:p w:rsidR="003D2625" w:rsidRPr="00405EF5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Находкинского городского округа реестра типовых ошибок при выдаче разрешений на строительство.</w:t>
            </w:r>
          </w:p>
        </w:tc>
        <w:tc>
          <w:tcPr>
            <w:tcW w:w="4824" w:type="dxa"/>
          </w:tcPr>
          <w:p w:rsidR="003D2625" w:rsidRPr="00405EF5" w:rsidRDefault="00D813B7" w:rsidP="00405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405EF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https://nakhodka-ci</w:t>
              </w:r>
              <w:r w:rsidRPr="00405EF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t</w:t>
              </w:r>
              <w:r w:rsidRPr="00405EF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y.ru/docs/2019/10/201910311618181_511_2.docx</w:t>
              </w:r>
            </w:hyperlink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D2625" w:rsidRPr="00243EBB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5" w:rsidRPr="00405EF5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  <w:tr w:rsidR="00243EBB" w:rsidRPr="00243EBB" w:rsidTr="002F3540">
        <w:trPr>
          <w:trHeight w:val="193"/>
        </w:trPr>
        <w:tc>
          <w:tcPr>
            <w:tcW w:w="16304" w:type="dxa"/>
            <w:gridSpan w:val="9"/>
          </w:tcPr>
          <w:p w:rsidR="003D2625" w:rsidRPr="0050087D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Рынок дорожной деятельности (за исключением проектирования)</w:t>
            </w:r>
          </w:p>
        </w:tc>
      </w:tr>
      <w:tr w:rsidR="00243EBB" w:rsidRPr="00243EBB" w:rsidTr="002F3540">
        <w:trPr>
          <w:trHeight w:val="1814"/>
        </w:trPr>
        <w:tc>
          <w:tcPr>
            <w:tcW w:w="528" w:type="dxa"/>
          </w:tcPr>
          <w:p w:rsidR="003D2625" w:rsidRPr="0050087D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292" w:type="dxa"/>
          </w:tcPr>
          <w:p w:rsidR="003D2625" w:rsidRPr="0050087D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конкурентных способов при размещении заказов в сфере дорожной деятельности для обеспечения муниципальных нужд</w:t>
            </w:r>
          </w:p>
        </w:tc>
        <w:tc>
          <w:tcPr>
            <w:tcW w:w="4824" w:type="dxa"/>
          </w:tcPr>
          <w:p w:rsidR="0050087D" w:rsidRPr="0050087D" w:rsidRDefault="0050087D" w:rsidP="00500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 2020 году в сфере дорожной деятельности планируются работы:</w:t>
            </w:r>
          </w:p>
          <w:p w:rsidR="0050087D" w:rsidRPr="0050087D" w:rsidRDefault="0050087D" w:rsidP="00500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ремонт дорог общего пользования;</w:t>
            </w:r>
          </w:p>
          <w:p w:rsidR="0050087D" w:rsidRPr="0050087D" w:rsidRDefault="0050087D" w:rsidP="00500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ремонт придомовых территорий;</w:t>
            </w:r>
          </w:p>
          <w:p w:rsidR="0050087D" w:rsidRPr="0050087D" w:rsidRDefault="0050087D" w:rsidP="00500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ремонт и установка пешеходных ограждений;</w:t>
            </w:r>
          </w:p>
          <w:p w:rsidR="0050087D" w:rsidRPr="0050087D" w:rsidRDefault="0050087D" w:rsidP="00500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ремонт и установка автобусных остановок.</w:t>
            </w:r>
          </w:p>
          <w:p w:rsidR="0050087D" w:rsidRPr="0050087D" w:rsidRDefault="0050087D" w:rsidP="00500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дорожной деятельности на территории Находкинского городского округа в 1 квартале . 2020 года на конкурсной основе заключено</w:t>
            </w:r>
            <w:r w:rsidR="00D81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D81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 с 1 организацией (ООО).</w:t>
            </w:r>
          </w:p>
          <w:p w:rsidR="003D2625" w:rsidRPr="0050087D" w:rsidRDefault="0050087D" w:rsidP="00500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муниципальные контракты заключены по 44-ФЗ «О контрактной системе в сфере закупок товаров, работ, услуг для обеспечения государственных и муниципальных нужд».</w:t>
            </w: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Доля организаций частной формы собственности в сфере дорожной деятельности </w:t>
            </w: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(за исключением проектирования)</w:t>
            </w:r>
          </w:p>
        </w:tc>
        <w:tc>
          <w:tcPr>
            <w:tcW w:w="3544" w:type="dxa"/>
          </w:tcPr>
          <w:p w:rsidR="003D2625" w:rsidRPr="0050087D" w:rsidRDefault="003D2625" w:rsidP="003D26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8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135" w:type="dxa"/>
          </w:tcPr>
          <w:p w:rsidR="003D2625" w:rsidRPr="0050087D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87D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4" w:type="dxa"/>
          </w:tcPr>
          <w:p w:rsidR="003D2625" w:rsidRPr="0050087D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3D2625" w:rsidRPr="0050087D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</w:tcPr>
          <w:p w:rsidR="003D2625" w:rsidRPr="0050087D" w:rsidRDefault="0050087D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43EBB" w:rsidRPr="00243EBB" w:rsidTr="002F3540">
        <w:tc>
          <w:tcPr>
            <w:tcW w:w="16304" w:type="dxa"/>
            <w:gridSpan w:val="9"/>
          </w:tcPr>
          <w:p w:rsidR="003D2625" w:rsidRPr="00243EBB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ru-RU"/>
              </w:rPr>
            </w:pPr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12. Сфера </w:t>
            </w:r>
            <w:proofErr w:type="gramStart"/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наружной</w:t>
            </w:r>
            <w:proofErr w:type="gramEnd"/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рекламы</w:t>
            </w:r>
          </w:p>
        </w:tc>
      </w:tr>
      <w:tr w:rsidR="00243EBB" w:rsidRPr="00243EBB" w:rsidTr="002F3540">
        <w:tc>
          <w:tcPr>
            <w:tcW w:w="528" w:type="dxa"/>
          </w:tcPr>
          <w:p w:rsidR="003D2625" w:rsidRPr="003D199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292" w:type="dxa"/>
          </w:tcPr>
          <w:p w:rsidR="003D2625" w:rsidRPr="003D199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схем размещения рекламных конструкций </w:t>
            </w:r>
          </w:p>
        </w:tc>
        <w:tc>
          <w:tcPr>
            <w:tcW w:w="4824" w:type="dxa"/>
          </w:tcPr>
          <w:p w:rsidR="003D2625" w:rsidRPr="003D199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Схему размещения рекламных конструкций включено </w:t>
            </w:r>
            <w:r w:rsidR="003D1992"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под установку отдельно стоящих рекламных конструкций разного формата, предусмотрено 11 новых мест для установки </w:t>
            </w:r>
            <w:proofErr w:type="spellStart"/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билбордов</w:t>
            </w:r>
            <w:proofErr w:type="spellEnd"/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(3м х 6м)</w:t>
            </w:r>
          </w:p>
          <w:p w:rsidR="003D2625" w:rsidRPr="003D1992" w:rsidRDefault="00815549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3D2625" w:rsidRPr="003D199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https://www.nakhodka-city.ru/administration/structure/docx/?sid=8&amp;uid=43</w:t>
              </w:r>
            </w:hyperlink>
          </w:p>
        </w:tc>
        <w:tc>
          <w:tcPr>
            <w:tcW w:w="3544" w:type="dxa"/>
          </w:tcPr>
          <w:p w:rsidR="003D2625" w:rsidRPr="003D1992" w:rsidRDefault="003D2625" w:rsidP="003D26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992">
              <w:rPr>
                <w:rFonts w:ascii="Times New Roman" w:eastAsia="Calibri" w:hAnsi="Times New Roman" w:cs="Times New Roman"/>
                <w:sz w:val="20"/>
                <w:szCs w:val="20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135" w:type="dxa"/>
          </w:tcPr>
          <w:p w:rsidR="003D2625" w:rsidRPr="003D1992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99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4" w:type="dxa"/>
          </w:tcPr>
          <w:p w:rsidR="003D2625" w:rsidRPr="003D199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3D2625" w:rsidRPr="003D199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</w:tcPr>
          <w:p w:rsidR="003D2625" w:rsidRPr="003D1992" w:rsidRDefault="003D1992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43EBB" w:rsidRPr="00243EBB" w:rsidTr="002F3540">
        <w:tc>
          <w:tcPr>
            <w:tcW w:w="528" w:type="dxa"/>
          </w:tcPr>
          <w:p w:rsidR="003D2625" w:rsidRPr="003D199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292" w:type="dxa"/>
          </w:tcPr>
          <w:p w:rsidR="003D2625" w:rsidRPr="003D199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перечня всех НПА, МПА, регулирующих сферы наружной рекламы</w:t>
            </w:r>
          </w:p>
        </w:tc>
        <w:tc>
          <w:tcPr>
            <w:tcW w:w="4824" w:type="dxa"/>
          </w:tcPr>
          <w:p w:rsidR="003D2625" w:rsidRPr="003D1992" w:rsidRDefault="00815549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3D2625" w:rsidRPr="003D199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https://www.nakhodka-city.ru/docs/2019/6/2019624113451_64_59.pdf</w:t>
              </w:r>
            </w:hyperlink>
          </w:p>
        </w:tc>
        <w:tc>
          <w:tcPr>
            <w:tcW w:w="3544" w:type="dxa"/>
          </w:tcPr>
          <w:p w:rsidR="003D2625" w:rsidRPr="003D1992" w:rsidRDefault="003D2625" w:rsidP="003D26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D2625" w:rsidRPr="003D1992" w:rsidRDefault="003D2625" w:rsidP="003D262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D2625" w:rsidRPr="003D199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D2625" w:rsidRPr="003D199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3D2625" w:rsidRPr="003D1992" w:rsidRDefault="003D2625" w:rsidP="003D2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EBB" w:rsidRPr="00243EBB" w:rsidTr="002F3540">
        <w:trPr>
          <w:trHeight w:val="193"/>
        </w:trPr>
        <w:tc>
          <w:tcPr>
            <w:tcW w:w="16304" w:type="dxa"/>
            <w:gridSpan w:val="9"/>
          </w:tcPr>
          <w:p w:rsidR="003D2625" w:rsidRPr="00243EBB" w:rsidRDefault="003D2625" w:rsidP="003D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  <w:lang w:val="en-US"/>
              </w:rPr>
            </w:pPr>
            <w:r w:rsidRPr="001C5BA8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13 Рынок ритуальных услуг</w:t>
            </w:r>
          </w:p>
        </w:tc>
      </w:tr>
      <w:tr w:rsidR="00243EBB" w:rsidRPr="00243EBB" w:rsidTr="002F3540">
        <w:trPr>
          <w:trHeight w:val="555"/>
        </w:trPr>
        <w:tc>
          <w:tcPr>
            <w:tcW w:w="16304" w:type="dxa"/>
            <w:gridSpan w:val="9"/>
          </w:tcPr>
          <w:p w:rsidR="003D2625" w:rsidRPr="00761917" w:rsidRDefault="003D2625" w:rsidP="00500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 состоянию на 31.</w:t>
            </w:r>
            <w:r w:rsidR="00761917"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03</w:t>
            </w: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.20</w:t>
            </w:r>
            <w:r w:rsidR="00761917"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 рынке ритуальных услуг Находкинского городского округа работали 8 предприятий:</w:t>
            </w:r>
          </w:p>
          <w:p w:rsidR="003D2625" w:rsidRPr="00761917" w:rsidRDefault="003D2625" w:rsidP="003D2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- 6 субъекты малого предпринимательства,</w:t>
            </w:r>
          </w:p>
          <w:p w:rsidR="003D2625" w:rsidRPr="00761917" w:rsidRDefault="003D2625" w:rsidP="003D2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 муниципальное унитарное  предприятие «Бюро специальных услуг»;</w:t>
            </w:r>
          </w:p>
          <w:p w:rsidR="003D2625" w:rsidRPr="00243EBB" w:rsidRDefault="003D2625" w:rsidP="00761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муниципальное бюджетное учреждение «Память», которое  оказывает услуги только по гарантированному перечню: содержание и обслуживание кладбищ и захоронение умерших, не имеющих родственников за счет бюджетных средств. </w:t>
            </w:r>
          </w:p>
        </w:tc>
      </w:tr>
      <w:tr w:rsidR="00243EBB" w:rsidRPr="00243EBB" w:rsidTr="008141F9">
        <w:trPr>
          <w:trHeight w:val="397"/>
        </w:trPr>
        <w:tc>
          <w:tcPr>
            <w:tcW w:w="528" w:type="dxa"/>
          </w:tcPr>
          <w:p w:rsidR="003D2625" w:rsidRPr="00761917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13.1</w:t>
            </w:r>
          </w:p>
        </w:tc>
        <w:tc>
          <w:tcPr>
            <w:tcW w:w="3292" w:type="dxa"/>
          </w:tcPr>
          <w:p w:rsidR="003D2625" w:rsidRPr="00761917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Увеличение количества субъектов малого предпринимательства в сфере ритуальных услуг  </w:t>
            </w:r>
          </w:p>
        </w:tc>
        <w:tc>
          <w:tcPr>
            <w:tcW w:w="4824" w:type="dxa"/>
          </w:tcPr>
          <w:p w:rsidR="003D2625" w:rsidRPr="00761917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Ритуальные услуги (платные), в том числе услуги по погребению, предоставляются хозяйствующими субъектами, как правило, частной формы собственности.</w:t>
            </w:r>
          </w:p>
          <w:p w:rsidR="003D2625" w:rsidRPr="00761917" w:rsidRDefault="003D2625" w:rsidP="007619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Фактически  в </w:t>
            </w:r>
            <w:r w:rsidR="00761917"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1 квартале 2020 года </w:t>
            </w: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на территории Находкинского городского округа функционировала  на рынке платных ритуальных услуг 7 предприятий, доля </w:t>
            </w:r>
            <w:proofErr w:type="gramStart"/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частных организаций, оказывающих ритуальные </w:t>
            </w: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услуги на территории Находкинского городского округа  достигла</w:t>
            </w:r>
            <w:proofErr w:type="gramEnd"/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85,7 %. </w:t>
            </w:r>
          </w:p>
        </w:tc>
        <w:tc>
          <w:tcPr>
            <w:tcW w:w="3544" w:type="dxa"/>
          </w:tcPr>
          <w:p w:rsidR="003D2625" w:rsidRPr="00761917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Доля организаций частной формы собственности в сфере ритуальных услуг</w:t>
            </w:r>
          </w:p>
        </w:tc>
        <w:tc>
          <w:tcPr>
            <w:tcW w:w="1135" w:type="dxa"/>
          </w:tcPr>
          <w:p w:rsidR="003D2625" w:rsidRPr="00761917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994" w:type="dxa"/>
          </w:tcPr>
          <w:p w:rsidR="003D2625" w:rsidRPr="00761917" w:rsidRDefault="003D2625" w:rsidP="003D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D2625" w:rsidRPr="00761917" w:rsidRDefault="003D2625" w:rsidP="003D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994" w:type="dxa"/>
          </w:tcPr>
          <w:p w:rsidR="003D2625" w:rsidRPr="00761917" w:rsidRDefault="00761917" w:rsidP="003D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</w:tr>
      <w:tr w:rsidR="00243EBB" w:rsidRPr="00243EBB" w:rsidTr="002F3540">
        <w:trPr>
          <w:trHeight w:val="964"/>
        </w:trPr>
        <w:tc>
          <w:tcPr>
            <w:tcW w:w="528" w:type="dxa"/>
          </w:tcPr>
          <w:p w:rsidR="003D2625" w:rsidRPr="00761917" w:rsidRDefault="003D2625" w:rsidP="003D262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9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13.2</w:t>
            </w:r>
          </w:p>
        </w:tc>
        <w:tc>
          <w:tcPr>
            <w:tcW w:w="3292" w:type="dxa"/>
          </w:tcPr>
          <w:p w:rsidR="003D2625" w:rsidRPr="00761917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Ведение реестра участников рынка с указанием перечня предоставляемых ритуальных услуг, в том числе гарантированного перечня услуг по погребению</w:t>
            </w:r>
          </w:p>
        </w:tc>
        <w:tc>
          <w:tcPr>
            <w:tcW w:w="4824" w:type="dxa"/>
          </w:tcPr>
          <w:p w:rsidR="003D2625" w:rsidRPr="00761917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Управления экономики, потребительского рынка и предпринимательства администрации Находкинского городского округа, осуществляет ведение реестра постоянно.</w:t>
            </w:r>
          </w:p>
        </w:tc>
        <w:tc>
          <w:tcPr>
            <w:tcW w:w="3544" w:type="dxa"/>
          </w:tcPr>
          <w:p w:rsidR="003D2625" w:rsidRPr="00243EBB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5" w:type="dxa"/>
          </w:tcPr>
          <w:p w:rsidR="003D2625" w:rsidRPr="00243EBB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94" w:type="dxa"/>
          </w:tcPr>
          <w:p w:rsidR="003D2625" w:rsidRPr="00243EBB" w:rsidRDefault="003D2625" w:rsidP="003D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D2625" w:rsidRPr="00243EBB" w:rsidRDefault="003D2625" w:rsidP="003D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94" w:type="dxa"/>
          </w:tcPr>
          <w:p w:rsidR="003D2625" w:rsidRPr="00243EBB" w:rsidRDefault="003D2625" w:rsidP="003D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</w:tr>
      <w:tr w:rsidR="00243EBB" w:rsidRPr="00243EBB" w:rsidTr="002F3540">
        <w:trPr>
          <w:trHeight w:val="1134"/>
        </w:trPr>
        <w:tc>
          <w:tcPr>
            <w:tcW w:w="528" w:type="dxa"/>
          </w:tcPr>
          <w:p w:rsidR="003D2625" w:rsidRPr="00761917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13.3</w:t>
            </w:r>
          </w:p>
        </w:tc>
        <w:tc>
          <w:tcPr>
            <w:tcW w:w="3292" w:type="dxa"/>
          </w:tcPr>
          <w:p w:rsidR="003D2625" w:rsidRPr="00761917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Создание на официальном сайте Находкинского городского округа специализированного раздела (Вкладки) «Ритуальные услуги», актуализация информации</w:t>
            </w:r>
          </w:p>
        </w:tc>
        <w:tc>
          <w:tcPr>
            <w:tcW w:w="4824" w:type="dxa"/>
          </w:tcPr>
          <w:p w:rsidR="003D2625" w:rsidRPr="00761917" w:rsidRDefault="001C5BA8" w:rsidP="001C5BA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 официальном сайте Находкинского городского округа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создана в</w:t>
            </w: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кладк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«Ритуальные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услуги» </w:t>
            </w:r>
            <w:hyperlink r:id="rId12" w:history="1">
              <w:r w:rsidR="003D2625" w:rsidRPr="00761917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https://nakhodka-city.ru/administration/structure/docx/?sid=53&amp;uid=74</w:t>
              </w:r>
            </w:hyperlink>
            <w:r w:rsidR="003D2625" w:rsidRPr="007619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2625" w:rsidRPr="00243EBB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5" w:type="dxa"/>
          </w:tcPr>
          <w:p w:rsidR="003D2625" w:rsidRPr="00243EBB" w:rsidRDefault="003D2625" w:rsidP="003D2625">
            <w:pPr>
              <w:spacing w:after="0" w:line="240" w:lineRule="auto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94" w:type="dxa"/>
          </w:tcPr>
          <w:p w:rsidR="003D2625" w:rsidRPr="00243EBB" w:rsidRDefault="003D2625" w:rsidP="003D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D2625" w:rsidRPr="00243EBB" w:rsidRDefault="003D2625" w:rsidP="003D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94" w:type="dxa"/>
          </w:tcPr>
          <w:p w:rsidR="003D2625" w:rsidRPr="00243EBB" w:rsidRDefault="003D2625" w:rsidP="003D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</w:tr>
    </w:tbl>
    <w:p w:rsidR="003D2625" w:rsidRPr="003D2625" w:rsidRDefault="003D2625" w:rsidP="003D26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  <w:sectPr w:rsidR="003D2625" w:rsidRPr="003D2625" w:rsidSect="00187394">
          <w:headerReference w:type="default" r:id="rId13"/>
          <w:headerReference w:type="first" r:id="rId14"/>
          <w:pgSz w:w="16838" w:h="11906" w:orient="landscape"/>
          <w:pgMar w:top="851" w:right="567" w:bottom="567" w:left="567" w:header="397" w:footer="709" w:gutter="0"/>
          <w:cols w:space="708"/>
          <w:titlePg/>
          <w:docGrid w:linePitch="360"/>
        </w:sectPr>
      </w:pPr>
    </w:p>
    <w:p w:rsidR="003D2625" w:rsidRPr="003D2625" w:rsidRDefault="003D2625" w:rsidP="003D2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3D2625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lastRenderedPageBreak/>
        <w:t>Системные мероприятия по содействию развитию конкуренции</w:t>
      </w:r>
    </w:p>
    <w:p w:rsidR="003D2625" w:rsidRPr="003D2625" w:rsidRDefault="003D2625" w:rsidP="003D2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tbl>
      <w:tblPr>
        <w:tblW w:w="15930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540"/>
        <w:gridCol w:w="7540"/>
      </w:tblGrid>
      <w:tr w:rsidR="003D2625" w:rsidRPr="003D2625" w:rsidTr="002F3540">
        <w:trPr>
          <w:trHeight w:val="567"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№ </w:t>
            </w:r>
            <w:proofErr w:type="gramStart"/>
            <w:r w:rsidRPr="003D2625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</w:t>
            </w:r>
            <w:proofErr w:type="gramEnd"/>
            <w:r w:rsidRPr="003D2625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/п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Исполнение мероприятий</w:t>
            </w:r>
          </w:p>
        </w:tc>
      </w:tr>
      <w:tr w:rsidR="003D2625" w:rsidRPr="003D2625" w:rsidTr="002F3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3</w:t>
            </w:r>
          </w:p>
        </w:tc>
      </w:tr>
      <w:tr w:rsidR="003D2625" w:rsidRPr="003D2625" w:rsidTr="002F3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15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D2625" w:rsidRPr="003D2625" w:rsidTr="002F3540"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3D2625" w:rsidRPr="003D2625" w:rsidRDefault="003D2625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3D2625">
              <w:rPr>
                <w:rFonts w:ascii="Times New Roman" w:eastAsia="Calibri" w:hAnsi="Times New Roman" w:cs="Times New Roman"/>
                <w:sz w:val="20"/>
              </w:rPr>
              <w:t xml:space="preserve">Проведение оценки регулирующего воздействия проектов муниципальных нормативных правовых актов </w:t>
            </w:r>
            <w:r w:rsidRPr="003D2625">
              <w:rPr>
                <w:rFonts w:ascii="Times New Roman" w:eastAsia="Calibri" w:hAnsi="Times New Roman" w:cs="Times New Roman"/>
                <w:bCs/>
                <w:sz w:val="20"/>
              </w:rPr>
              <w:t>Находкинского городско округа</w:t>
            </w:r>
            <w:r w:rsidRPr="003D2625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Pr="003D2625"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  <w:t>затрагивающих вопросы осуществления предпринимательской и инвестиционной деятельности,</w:t>
            </w:r>
            <w:r w:rsidRPr="003D2625">
              <w:rPr>
                <w:rFonts w:ascii="Times New Roman" w:eastAsia="Calibri" w:hAnsi="Times New Roman" w:cs="Times New Roman"/>
                <w:sz w:val="20"/>
              </w:rPr>
              <w:t xml:space="preserve"> экспертизы муниципальных нормативных правовых актов </w:t>
            </w:r>
            <w:r w:rsidRPr="003D2625">
              <w:rPr>
                <w:rFonts w:ascii="Times New Roman" w:eastAsia="Calibri" w:hAnsi="Times New Roman" w:cs="Times New Roman"/>
                <w:bCs/>
                <w:sz w:val="20"/>
              </w:rPr>
              <w:t xml:space="preserve">Находкинского городско округа, </w:t>
            </w:r>
            <w:r w:rsidRPr="003D2625">
              <w:rPr>
                <w:rFonts w:ascii="Times New Roman" w:eastAsia="Calibri" w:hAnsi="Times New Roman" w:cs="Times New Roman"/>
                <w:sz w:val="20"/>
              </w:rPr>
              <w:t>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57" w:type="dxa"/>
              <w:right w:w="57" w:type="dxa"/>
            </w:tcMar>
          </w:tcPr>
          <w:p w:rsidR="00A46144" w:rsidRPr="00A46144" w:rsidRDefault="00A46144" w:rsidP="00A46144">
            <w:pPr>
              <w:spacing w:after="0" w:line="240" w:lineRule="auto"/>
              <w:ind w:left="116" w:right="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6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A46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A46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6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квартале</w:t>
            </w:r>
            <w:proofErr w:type="gramEnd"/>
            <w:r w:rsidRPr="00A46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2020 года оценка регулирующего воздействия проведена в отношении 3-х проектов:</w:t>
            </w:r>
          </w:p>
          <w:p w:rsidR="00A46144" w:rsidRPr="00A46144" w:rsidRDefault="00A46144" w:rsidP="00A46144">
            <w:pPr>
              <w:spacing w:after="0" w:line="240" w:lineRule="auto"/>
              <w:ind w:left="116" w:right="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6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46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постановлени</w:t>
            </w:r>
            <w:r w:rsidR="007D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A46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Находкинского городско округа</w:t>
            </w:r>
            <w:r w:rsidRPr="00A46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461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внесении изменений в постановление администрации Находкинского городского округа от 12.04.2019 № 619 «Об утверждении порядка,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округа, платы за размещение нестационарных торговых объектов на территории Находкинского городского округа».</w:t>
            </w:r>
            <w:proofErr w:type="gramEnd"/>
          </w:p>
          <w:p w:rsidR="00A46144" w:rsidRPr="00A46144" w:rsidRDefault="00A46144" w:rsidP="00A46144">
            <w:pPr>
              <w:spacing w:after="0" w:line="240" w:lineRule="auto"/>
              <w:ind w:left="116" w:right="53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6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постановлени</w:t>
            </w:r>
            <w:r w:rsidR="007D2EB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</w:t>
            </w:r>
            <w:r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администрации </w:t>
            </w:r>
            <w:r w:rsidR="007D2EB0">
              <w:rPr>
                <w:rFonts w:ascii="Times New Roman" w:eastAsia="Calibri" w:hAnsi="Times New Roman" w:cs="Times New Roman"/>
                <w:bCs/>
                <w:sz w:val="20"/>
              </w:rPr>
              <w:t>Находкинского городско округа</w:t>
            </w:r>
            <w:r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«Об утверждении административного регламента исполнения муниципальной услуги «Предоставление сведений, содержащихся в автоматизированной информационной системе обеспечения градостроительной деятельности Находкинского городского округа» на территории Находкинского городского округа».</w:t>
            </w:r>
          </w:p>
          <w:p w:rsidR="00A46144" w:rsidRPr="00A46144" w:rsidRDefault="00A46144" w:rsidP="00A46144">
            <w:pPr>
              <w:spacing w:after="0" w:line="240" w:lineRule="auto"/>
              <w:ind w:left="116" w:right="53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6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постановлени</w:t>
            </w:r>
            <w:r w:rsidR="007D2EB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</w:t>
            </w:r>
            <w:r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администрации </w:t>
            </w:r>
            <w:r w:rsidR="007D2EB0">
              <w:rPr>
                <w:rFonts w:ascii="Times New Roman" w:eastAsia="Calibri" w:hAnsi="Times New Roman" w:cs="Times New Roman"/>
                <w:bCs/>
                <w:sz w:val="20"/>
              </w:rPr>
              <w:t>Находкинского городско округа</w:t>
            </w:r>
            <w:r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Находкинского городского округа».</w:t>
            </w:r>
          </w:p>
          <w:p w:rsidR="00A46144" w:rsidRPr="00A46144" w:rsidRDefault="007D2EB0" w:rsidP="00A46144">
            <w:pPr>
              <w:spacing w:before="100" w:beforeAutospacing="1" w:after="100" w:afterAutospacing="1" w:line="240" w:lineRule="auto"/>
              <w:ind w:left="113" w:right="51"/>
              <w:contextualSpacing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Кроме того, в</w:t>
            </w:r>
            <w:r w:rsidR="00A46144"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I квартале 2020 года </w:t>
            </w:r>
            <w:r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проведены </w:t>
            </w:r>
            <w:r w:rsidR="00A46144"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экспертизы в отношении 2-х МНПА:</w:t>
            </w:r>
          </w:p>
          <w:p w:rsidR="00A46144" w:rsidRPr="00A46144" w:rsidRDefault="00A46144" w:rsidP="00A46144">
            <w:pPr>
              <w:spacing w:before="100" w:beforeAutospacing="1" w:after="100" w:afterAutospacing="1" w:line="240" w:lineRule="auto"/>
              <w:ind w:left="113" w:right="51"/>
              <w:contextualSpacing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 Решени</w:t>
            </w:r>
            <w:r w:rsidR="007D2EB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</w:t>
            </w:r>
            <w:r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Думы Находкинского городского округа от 27.12.2019 № 542-НПА "О </w:t>
            </w:r>
            <w:proofErr w:type="gramStart"/>
            <w:r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правилах</w:t>
            </w:r>
            <w:proofErr w:type="gramEnd"/>
            <w:r w:rsidRPr="00A4614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благоустройства территории Находкинского городского округа".</w:t>
            </w:r>
          </w:p>
          <w:p w:rsidR="00A46144" w:rsidRPr="008D11A6" w:rsidRDefault="00A46144" w:rsidP="008D11A6">
            <w:pPr>
              <w:spacing w:after="0" w:line="240" w:lineRule="auto"/>
              <w:ind w:left="116" w:right="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Постановлени</w:t>
            </w:r>
            <w:r w:rsid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Находкинского городского округа от 09.10.2019 №</w:t>
            </w:r>
            <w:r w:rsid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1647 «Об утверждении Административного регламента исполнения муниципальной функции «Осуществление муниципального </w:t>
            </w:r>
            <w:proofErr w:type="gramStart"/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Находкинского городского округа».</w:t>
            </w:r>
          </w:p>
          <w:p w:rsidR="003D2625" w:rsidRPr="003D2625" w:rsidRDefault="00815549" w:rsidP="008D11A6">
            <w:pPr>
              <w:spacing w:after="0" w:line="240" w:lineRule="auto"/>
              <w:ind w:left="116" w:right="5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hyperlink r:id="rId15" w:history="1">
              <w:r w:rsidR="003D2625" w:rsidRPr="008D11A6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https://www.nakhodka-city.ru/model/item/?sid=4&amp;uid=139</w:t>
              </w:r>
            </w:hyperlink>
          </w:p>
        </w:tc>
      </w:tr>
      <w:tr w:rsidR="003D2625" w:rsidRPr="003D2625" w:rsidTr="002F3540">
        <w:trPr>
          <w:trHeight w:val="385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3D2625" w:rsidRPr="003D2625" w:rsidRDefault="003D2625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  <w:r w:rsidRPr="003D2625">
              <w:rPr>
                <w:rFonts w:ascii="Times New Roman" w:eastAsia="Calibri" w:hAnsi="Times New Roman" w:cs="Times New Roman"/>
                <w:sz w:val="20"/>
              </w:rPr>
              <w:t>Проведение комплекса мероприятий, способствующих развитию конкурентоспособности товаров, работ, услуг субъектов малого и среднего предпринимательства, включающие: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625" w:rsidRPr="003D2625" w:rsidRDefault="003D2625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D2625" w:rsidRPr="003D2625" w:rsidTr="002F3540">
        <w:trPr>
          <w:trHeight w:val="385"/>
        </w:trPr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7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3D2625" w:rsidRPr="003D2625" w:rsidRDefault="003D2625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  <w:r w:rsidRPr="003D2625">
              <w:rPr>
                <w:rFonts w:ascii="Times New Roman" w:eastAsia="Calibri" w:hAnsi="Times New Roman" w:cs="Times New Roman"/>
                <w:sz w:val="20"/>
              </w:rPr>
              <w:t xml:space="preserve">- организация совместно с центром «Мой бизнес-Н» семинаров, тренингов для субъектов МСП по осуществлению закупок в рамках 44-ФЗ и 223-ФЗ, а также </w:t>
            </w:r>
            <w:r w:rsidRPr="003D2625">
              <w:rPr>
                <w:rFonts w:ascii="Times New Roman" w:eastAsia="Calibri" w:hAnsi="Times New Roman" w:cs="Times New Roman"/>
                <w:sz w:val="20"/>
              </w:rPr>
              <w:lastRenderedPageBreak/>
              <w:t>семинаров, тренингов по вопросам повышения конкурентоспособности товаров, работ, услуг (</w:t>
            </w:r>
            <w:proofErr w:type="spellStart"/>
            <w:r w:rsidRPr="003D2625">
              <w:rPr>
                <w:rFonts w:ascii="Times New Roman" w:eastAsia="Calibri" w:hAnsi="Times New Roman" w:cs="Times New Roman"/>
                <w:sz w:val="20"/>
              </w:rPr>
              <w:t>брендирование</w:t>
            </w:r>
            <w:proofErr w:type="spellEnd"/>
            <w:r w:rsidRPr="003D2625">
              <w:rPr>
                <w:rFonts w:ascii="Times New Roman" w:eastAsia="Calibri" w:hAnsi="Times New Roman" w:cs="Times New Roman"/>
                <w:sz w:val="20"/>
              </w:rPr>
              <w:t>, активные продажи и т.д.);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2EB0" w:rsidRPr="008D11A6" w:rsidRDefault="007D2EB0" w:rsidP="008D11A6">
            <w:pPr>
              <w:spacing w:after="0" w:line="240" w:lineRule="auto"/>
              <w:ind w:left="116" w:right="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 I квартале 2020 года совместно с центром «Мой бизнес-Н» </w:t>
            </w:r>
            <w:proofErr w:type="gramStart"/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проведены</w:t>
            </w:r>
            <w:proofErr w:type="gramEnd"/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мероприятий:</w:t>
            </w:r>
          </w:p>
          <w:p w:rsidR="007D2EB0" w:rsidRPr="008D11A6" w:rsidRDefault="007D2EB0" w:rsidP="008D11A6">
            <w:pPr>
              <w:spacing w:after="0" w:line="240" w:lineRule="auto"/>
              <w:ind w:left="116" w:right="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- круглый стол: «Актуальные вопросы предпринимательства»</w:t>
            </w:r>
          </w:p>
          <w:p w:rsidR="007D2EB0" w:rsidRPr="008D11A6" w:rsidRDefault="007D2EB0" w:rsidP="008D11A6">
            <w:pPr>
              <w:spacing w:after="0" w:line="240" w:lineRule="auto"/>
              <w:ind w:left="116" w:right="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</w:t>
            </w:r>
            <w:proofErr w:type="spellStart"/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коворкинг</w:t>
            </w:r>
            <w:proofErr w:type="spellEnd"/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-форум «Туризм в Находкинском городском округе: перспективы развития отрасли»</w:t>
            </w:r>
          </w:p>
          <w:p w:rsidR="007D2EB0" w:rsidRPr="008D11A6" w:rsidRDefault="007D2EB0" w:rsidP="008D11A6">
            <w:pPr>
              <w:spacing w:after="0" w:line="240" w:lineRule="auto"/>
              <w:ind w:left="116" w:right="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семинар «Эффективная деловая коммуникация для экспортеров»</w:t>
            </w:r>
          </w:p>
          <w:p w:rsidR="007D2EB0" w:rsidRPr="008D11A6" w:rsidRDefault="007D2EB0" w:rsidP="008D11A6">
            <w:pPr>
              <w:spacing w:after="0" w:line="240" w:lineRule="auto"/>
              <w:ind w:left="116" w:right="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«Социальное предпринимательство — тренд будущего»</w:t>
            </w:r>
          </w:p>
          <w:p w:rsidR="003D2625" w:rsidRPr="003D2625" w:rsidRDefault="007D2EB0" w:rsidP="008D11A6">
            <w:pPr>
              <w:spacing w:after="0" w:line="240" w:lineRule="auto"/>
              <w:ind w:left="116" w:right="5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семинар «Обязательная маркировка товаров. Советы и рекомендации от практикующей компании. Готовые решения для автоматизации получения кодов»</w:t>
            </w:r>
          </w:p>
        </w:tc>
      </w:tr>
      <w:tr w:rsidR="003D2625" w:rsidRPr="003D2625" w:rsidTr="002F3540">
        <w:trPr>
          <w:trHeight w:val="766"/>
        </w:trPr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3D2625" w:rsidRPr="003D2625" w:rsidRDefault="003D2625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  <w:r w:rsidRPr="003D2625">
              <w:rPr>
                <w:rFonts w:ascii="Times New Roman" w:eastAsia="Calibri" w:hAnsi="Times New Roman" w:cs="Times New Roman"/>
                <w:sz w:val="20"/>
              </w:rPr>
              <w:t>- проведение совместной работы с Региональным центром инжиниринга, как одного из инструментов поддержки производственных предприятий, в реализации мероприятий по «выращиванию субъектов МСП»;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D2625" w:rsidRPr="003D2625" w:rsidRDefault="003D2625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D2625" w:rsidRPr="003D2625" w:rsidTr="002F3540">
        <w:trPr>
          <w:trHeight w:val="766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3D2625" w:rsidRPr="003D2625" w:rsidRDefault="003D2625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  <w:r w:rsidRPr="003D2625">
              <w:rPr>
                <w:rFonts w:ascii="Times New Roman" w:eastAsia="Calibri" w:hAnsi="Times New Roman" w:cs="Times New Roman"/>
                <w:sz w:val="20"/>
              </w:rPr>
              <w:t>- оказание информационной поддержки о проводимых конкурсах, выставках, ярмарках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57" w:type="dxa"/>
              <w:right w:w="57" w:type="dxa"/>
            </w:tcMar>
          </w:tcPr>
          <w:p w:rsidR="003D2625" w:rsidRPr="008D11A6" w:rsidRDefault="003D2625" w:rsidP="008D11A6">
            <w:pPr>
              <w:spacing w:after="0" w:line="240" w:lineRule="auto"/>
              <w:ind w:left="116" w:right="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информация о проводимых конкурсах, выставках, ярмарках размещается на официальном сайте администрации Находкинского городского округа.</w:t>
            </w:r>
          </w:p>
        </w:tc>
      </w:tr>
      <w:tr w:rsidR="003D2625" w:rsidRPr="003D2625" w:rsidTr="002F3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1.3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3D2625" w:rsidRPr="003D2625" w:rsidRDefault="003D2625" w:rsidP="003D2625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  <w:r w:rsidRPr="003D2625">
              <w:rPr>
                <w:rFonts w:ascii="Times New Roman" w:eastAsia="Calibri" w:hAnsi="Times New Roman" w:cs="Times New Roman"/>
                <w:sz w:val="20"/>
              </w:rPr>
              <w:t>Проведение ежегодной «Недели предпринимательства»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57" w:type="dxa"/>
              <w:right w:w="57" w:type="dxa"/>
            </w:tcMar>
          </w:tcPr>
          <w:p w:rsidR="003D2625" w:rsidRPr="003D2625" w:rsidRDefault="007D2EB0" w:rsidP="008D11A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8D11A6">
              <w:rPr>
                <w:rFonts w:ascii="Times New Roman" w:eastAsia="Calibri" w:hAnsi="Times New Roman" w:cs="Times New Roman"/>
                <w:sz w:val="20"/>
              </w:rPr>
              <w:t>Проведение ежегодной «Недели предпринимательства»</w:t>
            </w:r>
            <w:r w:rsidR="003D2625" w:rsidRPr="008D11A6">
              <w:rPr>
                <w:rFonts w:ascii="Times New Roman" w:eastAsia="Calibri" w:hAnsi="Times New Roman" w:cs="Times New Roman"/>
                <w:sz w:val="20"/>
              </w:rPr>
              <w:t xml:space="preserve"> в Находкинском городском округе </w:t>
            </w:r>
            <w:r w:rsidR="008D11A6" w:rsidRPr="008D11A6">
              <w:rPr>
                <w:rFonts w:ascii="Times New Roman" w:eastAsia="Calibri" w:hAnsi="Times New Roman" w:cs="Times New Roman"/>
                <w:sz w:val="20"/>
              </w:rPr>
              <w:t>намечено в</w:t>
            </w:r>
            <w:r w:rsidRPr="008D11A6">
              <w:rPr>
                <w:rFonts w:ascii="Times New Roman" w:eastAsia="Calibri" w:hAnsi="Times New Roman" w:cs="Times New Roman"/>
                <w:sz w:val="20"/>
              </w:rPr>
              <w:t xml:space="preserve"> июне 2020 года</w:t>
            </w:r>
            <w:r w:rsidR="003D2625" w:rsidRPr="008D11A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3D2625" w:rsidRPr="003D2625" w:rsidTr="002F3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1.4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3D2625" w:rsidRPr="003D2625" w:rsidRDefault="003D2625" w:rsidP="003D262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  <w:r w:rsidRPr="003D2625">
              <w:rPr>
                <w:rFonts w:ascii="Times New Roman" w:eastAsia="Calibri" w:hAnsi="Times New Roman" w:cs="Times New Roman"/>
                <w:sz w:val="20"/>
              </w:rPr>
              <w:t>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57" w:type="dxa"/>
              <w:right w:w="57" w:type="dxa"/>
            </w:tcMar>
          </w:tcPr>
          <w:p w:rsidR="003D2625" w:rsidRPr="003D2625" w:rsidRDefault="008D11A6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</w:rPr>
              <w:t>-</w:t>
            </w:r>
          </w:p>
        </w:tc>
      </w:tr>
      <w:tr w:rsidR="003D2625" w:rsidRPr="003D2625" w:rsidTr="002F3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3D2625" w:rsidRPr="003D2625" w:rsidRDefault="003D2625" w:rsidP="003D262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  <w:r w:rsidRPr="003D2625">
              <w:rPr>
                <w:rFonts w:ascii="Times New Roman" w:eastAsia="Calibri" w:hAnsi="Times New Roman" w:cs="Times New Roman"/>
                <w:sz w:val="20"/>
              </w:rPr>
              <w:t xml:space="preserve">Работа </w:t>
            </w:r>
            <w:proofErr w:type="gramStart"/>
            <w:r w:rsidRPr="003D2625">
              <w:rPr>
                <w:rFonts w:ascii="Times New Roman" w:eastAsia="Calibri" w:hAnsi="Times New Roman" w:cs="Times New Roman"/>
                <w:sz w:val="20"/>
              </w:rPr>
              <w:t>фронт-офиса</w:t>
            </w:r>
            <w:proofErr w:type="gramEnd"/>
            <w:r w:rsidRPr="003D2625">
              <w:rPr>
                <w:rFonts w:ascii="Times New Roman" w:eastAsia="Calibri" w:hAnsi="Times New Roman" w:cs="Times New Roman"/>
                <w:sz w:val="20"/>
              </w:rPr>
              <w:t xml:space="preserve"> в формате предоставления консультационных услуг по вопросам градостроительной дельности  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57" w:type="dxa"/>
              <w:right w:w="57" w:type="dxa"/>
            </w:tcMar>
          </w:tcPr>
          <w:p w:rsidR="003D2625" w:rsidRPr="003D2625" w:rsidRDefault="003D2625" w:rsidP="008D11A6">
            <w:pPr>
              <w:spacing w:after="0" w:line="240" w:lineRule="auto"/>
              <w:ind w:left="116" w:right="5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8D1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администрации Находкинского городского округа (ул. Школьная, 18) организован фронт-офис, где предприниматели могут получить все необходимые консультации в области градостроительной деятельности: ознакомиться с перечнем необходимых документов, узнать о состоянии поданной ранее заявки.</w:t>
            </w:r>
            <w:proofErr w:type="gramEnd"/>
          </w:p>
        </w:tc>
      </w:tr>
      <w:tr w:rsidR="003D2625" w:rsidRPr="003D2625" w:rsidTr="002F3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2625" w:rsidRPr="003D2625" w:rsidRDefault="003D2625" w:rsidP="006461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15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3D2625" w:rsidRPr="003D2625" w:rsidRDefault="003D2625" w:rsidP="003D26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3D2625" w:rsidRPr="003D2625" w:rsidTr="002F3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2.1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3D2625" w:rsidRPr="003D2625" w:rsidRDefault="003D2625" w:rsidP="003D2625">
            <w:pPr>
              <w:widowControl w:val="0"/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lang w:eastAsia="ru-RU"/>
              </w:rPr>
              <w:t xml:space="preserve">Обеспечение </w:t>
            </w:r>
            <w:r w:rsidRPr="003D262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</w:rPr>
              <w:t xml:space="preserve">предоставления преимуществ субъектам </w:t>
            </w:r>
            <w:r w:rsidRPr="003D2625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lang w:eastAsia="ru-RU"/>
              </w:rPr>
              <w:t xml:space="preserve">малого </w:t>
            </w:r>
            <w:r w:rsidRPr="003D262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</w:rPr>
              <w:t>предпринимательства при осуществлении закупок товаров, работ, услуг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57" w:type="dxa"/>
              <w:right w:w="57" w:type="dxa"/>
            </w:tcMar>
          </w:tcPr>
          <w:p w:rsidR="00646171" w:rsidRDefault="00646171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46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1 </w:t>
            </w:r>
            <w:proofErr w:type="gramStart"/>
            <w:r w:rsidRPr="00646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квартале</w:t>
            </w:r>
            <w:proofErr w:type="gramEnd"/>
            <w:r w:rsidRPr="00646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2020 года п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роведено</w:t>
            </w:r>
            <w:r w:rsidR="003D2625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36</w:t>
            </w:r>
            <w:r w:rsidR="003D2625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закупок у субъектов МСП </w:t>
            </w:r>
          </w:p>
          <w:p w:rsidR="003D2625" w:rsidRPr="00646171" w:rsidRDefault="003D2625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на сумму </w:t>
            </w:r>
            <w:r w:rsidR="00646171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115,7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млн. рублей</w:t>
            </w:r>
            <w:r w:rsid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, 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в том числе:</w:t>
            </w:r>
          </w:p>
          <w:p w:rsidR="003D2625" w:rsidRPr="00646171" w:rsidRDefault="003D2625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-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ab/>
            </w:r>
            <w:r w:rsidR="00646171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34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электронных аукциона  на сумму </w:t>
            </w:r>
            <w:r w:rsidR="00646171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99,2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млн. рублей;</w:t>
            </w:r>
          </w:p>
          <w:p w:rsidR="003D2625" w:rsidRPr="00646171" w:rsidRDefault="003D2625" w:rsidP="0064617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-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ab/>
            </w:r>
            <w:r w:rsidR="00646171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электронный конкурс на сумму </w:t>
            </w:r>
            <w:r w:rsidR="00646171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16,5 млн. рублей.</w:t>
            </w:r>
          </w:p>
        </w:tc>
      </w:tr>
      <w:tr w:rsidR="003D2625" w:rsidRPr="003D2625" w:rsidTr="002F354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625" w:rsidRPr="003D2625" w:rsidRDefault="003D2625" w:rsidP="003D26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2.2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3D2625" w:rsidRPr="003D2625" w:rsidRDefault="003D2625" w:rsidP="003D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3D26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Обеспечение  выполнения конкурентных процедур определения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57" w:type="dxa"/>
              <w:right w:w="57" w:type="dxa"/>
            </w:tcMar>
          </w:tcPr>
          <w:p w:rsidR="00646171" w:rsidRDefault="00646171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46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1 </w:t>
            </w:r>
            <w:proofErr w:type="gramStart"/>
            <w:r w:rsidRPr="00646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квартале</w:t>
            </w:r>
            <w:proofErr w:type="gramEnd"/>
            <w:r w:rsidRPr="00646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2020 года п</w:t>
            </w:r>
            <w:r w:rsidR="003D2625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роведено 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98</w:t>
            </w:r>
            <w:r w:rsidR="003D2625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конкурентных процедур, </w:t>
            </w:r>
          </w:p>
          <w:p w:rsidR="003D2625" w:rsidRPr="00646171" w:rsidRDefault="003D2625" w:rsidP="003D262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на сумму </w:t>
            </w:r>
            <w:r w:rsidR="00646171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313,7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млн. рублей, в том числе:</w:t>
            </w:r>
          </w:p>
          <w:p w:rsidR="003D2625" w:rsidRPr="00646171" w:rsidRDefault="003D2625" w:rsidP="003D262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-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ab/>
            </w:r>
            <w:r w:rsidR="00646171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95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электронных аукцион</w:t>
            </w:r>
            <w:r w:rsidR="00646171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ов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 на сумму </w:t>
            </w:r>
            <w:r w:rsidR="00646171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295,2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млн. рублей;</w:t>
            </w:r>
          </w:p>
          <w:p w:rsidR="003D2625" w:rsidRPr="00646171" w:rsidRDefault="003D2625" w:rsidP="0064617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-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ab/>
            </w:r>
            <w:r w:rsidR="00646171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электронных конкурс</w:t>
            </w:r>
            <w:r w:rsidR="00646171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а</w:t>
            </w:r>
            <w:r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 на сумму </w:t>
            </w:r>
            <w:r w:rsidR="00646171" w:rsidRPr="0064617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18,5 млн. рублей.</w:t>
            </w:r>
          </w:p>
        </w:tc>
      </w:tr>
    </w:tbl>
    <w:p w:rsidR="00A6640F" w:rsidRDefault="00A6640F" w:rsidP="00646171"/>
    <w:sectPr w:rsidR="00A6640F" w:rsidSect="003D2625">
      <w:pgSz w:w="16838" w:h="11906" w:orient="landscape"/>
      <w:pgMar w:top="1134" w:right="340" w:bottom="851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49" w:rsidRDefault="00815549">
      <w:pPr>
        <w:spacing w:after="0" w:line="240" w:lineRule="auto"/>
      </w:pPr>
      <w:r>
        <w:separator/>
      </w:r>
    </w:p>
  </w:endnote>
  <w:endnote w:type="continuationSeparator" w:id="0">
    <w:p w:rsidR="00815549" w:rsidRDefault="0081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49" w:rsidRDefault="00815549">
      <w:pPr>
        <w:spacing w:after="0" w:line="240" w:lineRule="auto"/>
      </w:pPr>
      <w:r>
        <w:separator/>
      </w:r>
    </w:p>
  </w:footnote>
  <w:footnote w:type="continuationSeparator" w:id="0">
    <w:p w:rsidR="00815549" w:rsidRDefault="0081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290336"/>
      <w:docPartObj>
        <w:docPartGallery w:val="Page Numbers (Top of Page)"/>
        <w:docPartUnique/>
      </w:docPartObj>
    </w:sdtPr>
    <w:sdtEndPr/>
    <w:sdtContent>
      <w:p w:rsidR="00015BDF" w:rsidRDefault="003D2625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F5">
          <w:rPr>
            <w:noProof/>
          </w:rPr>
          <w:t>9</w:t>
        </w:r>
        <w:r>
          <w:fldChar w:fldCharType="end"/>
        </w:r>
      </w:p>
    </w:sdtContent>
  </w:sdt>
  <w:p w:rsidR="00015BDF" w:rsidRDefault="00815549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DF" w:rsidRDefault="00815549">
    <w:pPr>
      <w:pStyle w:val="1"/>
      <w:jc w:val="center"/>
    </w:pPr>
  </w:p>
  <w:p w:rsidR="00015BDF" w:rsidRPr="00BF1D4E" w:rsidRDefault="00815549" w:rsidP="00EE02BD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55"/>
    <w:rsid w:val="000A5F79"/>
    <w:rsid w:val="00191CD6"/>
    <w:rsid w:val="001C5BA8"/>
    <w:rsid w:val="001F6B5D"/>
    <w:rsid w:val="00202172"/>
    <w:rsid w:val="00212C00"/>
    <w:rsid w:val="002367EC"/>
    <w:rsid w:val="00243EBB"/>
    <w:rsid w:val="002B3152"/>
    <w:rsid w:val="00306131"/>
    <w:rsid w:val="00353747"/>
    <w:rsid w:val="00396C76"/>
    <w:rsid w:val="003D1992"/>
    <w:rsid w:val="003D2625"/>
    <w:rsid w:val="00405EF5"/>
    <w:rsid w:val="00423798"/>
    <w:rsid w:val="0050087D"/>
    <w:rsid w:val="005945B6"/>
    <w:rsid w:val="005F7A48"/>
    <w:rsid w:val="00646171"/>
    <w:rsid w:val="00761917"/>
    <w:rsid w:val="007A2135"/>
    <w:rsid w:val="007D2EB0"/>
    <w:rsid w:val="0080387F"/>
    <w:rsid w:val="008141F9"/>
    <w:rsid w:val="00815549"/>
    <w:rsid w:val="0087623B"/>
    <w:rsid w:val="008D11A6"/>
    <w:rsid w:val="00900640"/>
    <w:rsid w:val="00900A12"/>
    <w:rsid w:val="00926EBE"/>
    <w:rsid w:val="00963299"/>
    <w:rsid w:val="009718DA"/>
    <w:rsid w:val="00995F55"/>
    <w:rsid w:val="00A46144"/>
    <w:rsid w:val="00A6640F"/>
    <w:rsid w:val="00C61E67"/>
    <w:rsid w:val="00CD5B42"/>
    <w:rsid w:val="00D813B7"/>
    <w:rsid w:val="00EB27A9"/>
    <w:rsid w:val="00ED74D5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D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D2625"/>
  </w:style>
  <w:style w:type="paragraph" w:styleId="a3">
    <w:name w:val="header"/>
    <w:basedOn w:val="a"/>
    <w:link w:val="10"/>
    <w:uiPriority w:val="99"/>
    <w:unhideWhenUsed/>
    <w:rsid w:val="003D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3D2625"/>
  </w:style>
  <w:style w:type="paragraph" w:styleId="a5">
    <w:name w:val="footer"/>
    <w:basedOn w:val="a"/>
    <w:link w:val="a6"/>
    <w:uiPriority w:val="99"/>
    <w:unhideWhenUsed/>
    <w:rsid w:val="0023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7EC"/>
  </w:style>
  <w:style w:type="character" w:styleId="a7">
    <w:name w:val="Hyperlink"/>
    <w:basedOn w:val="a0"/>
    <w:uiPriority w:val="99"/>
    <w:unhideWhenUsed/>
    <w:rsid w:val="00926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D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D2625"/>
  </w:style>
  <w:style w:type="paragraph" w:styleId="a3">
    <w:name w:val="header"/>
    <w:basedOn w:val="a"/>
    <w:link w:val="10"/>
    <w:uiPriority w:val="99"/>
    <w:unhideWhenUsed/>
    <w:rsid w:val="003D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3D2625"/>
  </w:style>
  <w:style w:type="paragraph" w:styleId="a5">
    <w:name w:val="footer"/>
    <w:basedOn w:val="a"/>
    <w:link w:val="a6"/>
    <w:uiPriority w:val="99"/>
    <w:unhideWhenUsed/>
    <w:rsid w:val="0023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7EC"/>
  </w:style>
  <w:style w:type="character" w:styleId="a7">
    <w:name w:val="Hyperlink"/>
    <w:basedOn w:val="a0"/>
    <w:uiPriority w:val="99"/>
    <w:unhideWhenUsed/>
    <w:rsid w:val="00926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hodka-city.ru/docs/2019/12/2019129102071_684_372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khodka-city.ru/administration/structure/docx/?sid=24&amp;uid=194" TargetMode="External"/><Relationship Id="rId12" Type="http://schemas.openxmlformats.org/officeDocument/2006/relationships/hyperlink" Target="https://nakhodka-city.ru/administration/structure/docx/?sid=53&amp;uid=7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nakhodka-city.ru/docs/2019/6/2019624113451_64_5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khodka-city.ru/model/item/?sid=4&amp;uid=139" TargetMode="External"/><Relationship Id="rId10" Type="http://schemas.openxmlformats.org/officeDocument/2006/relationships/hyperlink" Target="https://www.nakhodka-city.ru/administration/structure/docx/?sid=8&amp;uid=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khodka-city.ru/docs/2019/10/201910311618181_511_2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11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Ветрова</dc:creator>
  <cp:keywords/>
  <dc:description/>
  <cp:lastModifiedBy>Марина Николаевна Ветрова</cp:lastModifiedBy>
  <cp:revision>13</cp:revision>
  <dcterms:created xsi:type="dcterms:W3CDTF">2020-03-20T02:04:00Z</dcterms:created>
  <dcterms:modified xsi:type="dcterms:W3CDTF">2020-04-10T02:03:00Z</dcterms:modified>
</cp:coreProperties>
</file>