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9F2AB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1214C8">
        <w:rPr>
          <w:rFonts w:ascii="Times New Roman" w:hAnsi="Times New Roman" w:cs="Times New Roman"/>
          <w:sz w:val="26"/>
          <w:szCs w:val="26"/>
        </w:rPr>
        <w:t>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Находкинского городского округа – 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600,0 тыс. руб.</w:t>
            </w:r>
          </w:p>
          <w:p w:rsidR="009223E1" w:rsidRPr="00124E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</w:t>
            </w:r>
            <w:r w:rsidR="005F34BC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</w:t>
            </w:r>
          </w:p>
          <w:p w:rsidR="005F34BC" w:rsidRPr="00124E88" w:rsidRDefault="005F34BC" w:rsidP="005F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5F34BC" w:rsidRPr="00124E88" w:rsidRDefault="005F34BC" w:rsidP="00F2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- 2026 год – 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144 7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3427FF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муниципальной программы составляет–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34 921,3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в том числе: бюджет Находкинского городского округа –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27FF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234 921,3  тыс. руб. по годам: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Pr="00124E88">
              <w:rPr>
                <w:rFonts w:ascii="Times New Roman" w:hAnsi="Times New Roman"/>
                <w:sz w:val="26"/>
                <w:szCs w:val="26"/>
              </w:rPr>
              <w:t xml:space="preserve">74 490,28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9D3616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 w:rsidR="0092312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D3616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</w:t>
            </w:r>
            <w:r w:rsidR="0092312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D3616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2312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9D3616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30 500,00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124E88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9D3616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5F34BC" w:rsidRPr="00124E88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</w:t>
            </w:r>
            <w:r w:rsidR="00F20FEE"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124E88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124E88" w:rsidRDefault="005F34BC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124E88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124E8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4BC" w:rsidRPr="00124E88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5F34BC" w:rsidRPr="00124E88" w:rsidRDefault="005F34BC" w:rsidP="005F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9223E1" w:rsidRPr="00A51405" w:rsidRDefault="009223E1" w:rsidP="00AA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увеличение количества восстановленных и (или) замененных элементов </w:t>
            </w:r>
            <w:r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благоустройства составит </w:t>
            </w:r>
            <w:proofErr w:type="gramStart"/>
            <w:r w:rsidRPr="003427F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gramEnd"/>
            <w:r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126 ед. в 2021 году до </w:t>
            </w:r>
            <w:r w:rsidR="00F20FEE"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</w:t>
            </w:r>
            <w:r w:rsidR="005F34BC"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4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расположено </w:t>
      </w:r>
      <w:r w:rsidR="002E663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 наиболее посещаемых объектов благоустройства (скверов, </w:t>
      </w:r>
      <w:r w:rsidR="00053F6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 массового отдыха населения на водных объектах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), требующих ежедневного содержания для поддержания их  в нормативном санитарном состоянии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 «Формирование современной городской среды Находкинского городского округа»  2018-202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и «Развитие туризма в Находкинском городском округе на 2018-2020 годы и на период до 2025 года» в Находке появ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общественные территории, которые пополн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существующий перечень. </w:t>
      </w:r>
      <w:r w:rsidR="004463F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124E88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Pr="00764A7B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Pr="00124E88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значимого для жителей города мест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Памятнике Победы в Великой Отечественной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войне 1941-1945 гг.</w:t>
      </w:r>
      <w:r w:rsidR="002004B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безопасности и непрерывности оказания услуги по обеспечению газом источника горения на памятнике на 2024 год планируется провести </w:t>
      </w:r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дегазации</w:t>
      </w:r>
      <w:proofErr w:type="gramEnd"/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техническому освидетельствованию с заменой запорной арматуры и предохранительных клапанов с привлечением специализированной организации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имеющей аттестованный квалифицированный персонал.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износа новогодней иллюминации и утраты елочных украшений по ряду причин, планируется приобретение новых 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украшений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</w:t>
      </w:r>
      <w:r w:rsidRPr="002004B2">
        <w:rPr>
          <w:rFonts w:ascii="Times New Roman" w:hAnsi="Times New Roman" w:cs="Times New Roman"/>
          <w:sz w:val="26"/>
          <w:szCs w:val="26"/>
        </w:rPr>
        <w:t>указанные цели в 2021 году, необходимо провести</w:t>
      </w:r>
      <w:r w:rsidRPr="00A55427">
        <w:rPr>
          <w:rFonts w:ascii="Times New Roman" w:hAnsi="Times New Roman" w:cs="Times New Roman"/>
          <w:sz w:val="26"/>
          <w:szCs w:val="26"/>
        </w:rPr>
        <w:t xml:space="preserve">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Официальный сайт единой информационной системы в сфере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выкашивание зеленых зон</w:t>
      </w:r>
      <w:proofErr w:type="gramStart"/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мероприятий, запланированных к реализации в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716EC4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214C8" w:rsidRDefault="001214C8" w:rsidP="001214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124E88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</w:t>
      </w:r>
      <w:r w:rsidR="007F3835"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124E88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124E88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</w:p>
    <w:p w:rsidR="00A37271" w:rsidRPr="008A4B99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</w:p>
    <w:p w:rsidR="00124E88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</w:t>
      </w:r>
      <w:proofErr w:type="gramStart"/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</w:t>
      </w:r>
      <w:proofErr w:type="gramEnd"/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4E88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7F3835" w:rsidRPr="008A4B99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</w:p>
    <w:p w:rsidR="007F3835" w:rsidRPr="007F3835" w:rsidRDefault="00124E88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F3835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7" w:rsidRPr="00DE2153" w:rsidRDefault="007A3EC7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7A3EC7" w:rsidP="007A3EC7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7A3EC7" w:rsidP="009D3616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D3616"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AA4F2C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AA4F2C"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124E88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</w:t>
      </w:r>
      <w:r w:rsidR="007F383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</w:p>
    <w:p w:rsidR="00124E88" w:rsidRPr="008A4B99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</w:t>
      </w:r>
      <w:proofErr w:type="gramStart"/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</w:t>
      </w:r>
      <w:proofErr w:type="gramEnd"/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24E88" w:rsidRPr="008A4B99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</w:p>
    <w:p w:rsidR="007F3835" w:rsidRPr="008A4B99" w:rsidRDefault="00124E88" w:rsidP="00124E88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A26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012C9" w:rsidRPr="007F3835" w:rsidTr="00FD7BAD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D7BAD" w:rsidRPr="007F3835" w:rsidTr="00FD7BAD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D7BAD" w:rsidRPr="007F3835" w:rsidTr="00FD7B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6313C7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8A440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8A4409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DE554D" w:rsidRDefault="00FD7BAD" w:rsidP="008A440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8A4409">
              <w:rPr>
                <w:rFonts w:ascii="Times New Roman" w:hAnsi="Times New Roman"/>
                <w:sz w:val="24"/>
                <w:szCs w:val="24"/>
              </w:rPr>
              <w:t>33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409">
              <w:rPr>
                <w:rFonts w:ascii="Times New Roman" w:hAnsi="Times New Roman"/>
                <w:sz w:val="24"/>
                <w:szCs w:val="24"/>
              </w:rPr>
              <w:t>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5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 w:rsidRPr="006313C7">
              <w:rPr>
                <w:rFonts w:ascii="Times New Roman" w:hAnsi="Times New Roman"/>
                <w:sz w:val="24"/>
                <w:szCs w:val="24"/>
              </w:rPr>
              <w:t>1</w:t>
            </w:r>
            <w:r w:rsidRPr="0063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6313C7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</w:t>
            </w:r>
            <w:r w:rsidR="00101372" w:rsidRPr="00A514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313C7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A5140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6B46F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8A440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4409">
              <w:rPr>
                <w:rFonts w:ascii="Times New Roman" w:hAnsi="Times New Roman"/>
                <w:sz w:val="24"/>
                <w:szCs w:val="24"/>
              </w:rPr>
              <w:t>7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8A440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8A4409">
              <w:rPr>
                <w:rFonts w:ascii="Times New Roman" w:hAnsi="Times New Roman"/>
                <w:sz w:val="24"/>
                <w:szCs w:val="24"/>
              </w:rPr>
              <w:t>3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409">
              <w:rPr>
                <w:rFonts w:ascii="Times New Roman" w:hAnsi="Times New Roman"/>
                <w:sz w:val="24"/>
                <w:szCs w:val="24"/>
              </w:rPr>
              <w:t>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13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3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6313C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313C7">
              <w:rPr>
                <w:rFonts w:ascii="Times New Roman" w:hAnsi="Times New Roman"/>
                <w:sz w:val="24"/>
                <w:szCs w:val="24"/>
              </w:rPr>
              <w:t>4 7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101372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D7BAD" w:rsidRPr="007F3835" w:rsidTr="00FD7B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865C0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1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C10F14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8A4409" w:rsidP="008A440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8A4409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4A6347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D2E1E" w:rsidP="0010137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13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7BAD" w:rsidRPr="007F3835" w:rsidTr="00FD7B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BAD" w:rsidRPr="00D645B4" w:rsidRDefault="00FD7BAD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4A6347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FD7BAD" w:rsidRPr="007F3835" w:rsidTr="00FD7B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097FC1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097FC1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D7BAD" w:rsidRPr="007F3835" w:rsidTr="00FD7BAD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AD" w:rsidRPr="007F3835" w:rsidRDefault="00FD7BAD" w:rsidP="00FD7B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AD" w:rsidRPr="007F3835" w:rsidRDefault="00FD7BAD" w:rsidP="00FD7BAD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BAD" w:rsidRPr="007F3835" w:rsidTr="00FD7BAD">
        <w:trPr>
          <w:trHeight w:val="152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FD7BAD" w:rsidRPr="007F3835" w:rsidTr="00FD7BAD">
        <w:trPr>
          <w:trHeight w:val="42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rPr>
          <w:trHeight w:val="164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D7BAD" w:rsidRPr="007F3835" w:rsidRDefault="00FD7BAD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178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5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158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965A26" w:rsidRDefault="008A4409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FD7BAD" w:rsidRPr="008A4409" w:rsidRDefault="008A4409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8A4409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965A26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8A4409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FD7BAD" w:rsidRPr="00965A26" w:rsidRDefault="008A4409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FD7BAD" w:rsidRPr="008A4409" w:rsidRDefault="008A4409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FD7BAD" w:rsidRPr="007F3835" w:rsidRDefault="00101372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FD7BAD" w:rsidRPr="004B0CCB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FD7BAD" w:rsidRPr="007F3835" w:rsidRDefault="00101372" w:rsidP="001D2E1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E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</w:tcPr>
          <w:p w:rsidR="00FD7BAD" w:rsidRPr="007F3835" w:rsidRDefault="001D2E1E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01372">
              <w:rPr>
                <w:rFonts w:ascii="Times New Roman" w:hAnsi="Times New Roman"/>
              </w:rPr>
              <w:t>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rPr>
          <w:trHeight w:val="71"/>
        </w:trPr>
        <w:tc>
          <w:tcPr>
            <w:tcW w:w="708" w:type="dxa"/>
            <w:vMerge w:val="restart"/>
            <w:hideMark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FD7BAD" w:rsidRPr="004B0CCB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Default="00FD7BAD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AD" w:rsidRPr="004B0CCB" w:rsidRDefault="00FD7BAD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rPr>
          <w:trHeight w:val="281"/>
        </w:trPr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FD7BAD" w:rsidRPr="007F3835" w:rsidRDefault="00101372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D" w:rsidRPr="007F3835" w:rsidTr="00FD7BAD">
        <w:tc>
          <w:tcPr>
            <w:tcW w:w="708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FD7BAD" w:rsidRPr="007F3835" w:rsidRDefault="00FD7BAD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FD7BAD" w:rsidRPr="007F3835" w:rsidRDefault="00FD7BAD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4A634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D7BAD" w:rsidRPr="007F3835" w:rsidRDefault="00FD7BAD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E88" w:rsidRPr="008A4B99" w:rsidRDefault="000652EF" w:rsidP="00124E88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</w:t>
      </w:r>
      <w:r w:rsidR="001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124E8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</w:p>
    <w:p w:rsidR="00124E88" w:rsidRPr="008A4B99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</w:t>
      </w:r>
      <w:proofErr w:type="gramStart"/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</w:t>
      </w:r>
      <w:proofErr w:type="gramEnd"/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24E88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24E88" w:rsidRPr="008A4B99" w:rsidRDefault="00124E88" w:rsidP="00124E88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</w:p>
    <w:p w:rsidR="00124E88" w:rsidRPr="008A4B99" w:rsidRDefault="00124E88" w:rsidP="00124E88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417"/>
        <w:gridCol w:w="709"/>
        <w:gridCol w:w="992"/>
        <w:gridCol w:w="1134"/>
        <w:gridCol w:w="851"/>
        <w:gridCol w:w="992"/>
        <w:gridCol w:w="992"/>
        <w:gridCol w:w="993"/>
      </w:tblGrid>
      <w:tr w:rsidR="00275D7E" w:rsidRPr="00983526" w:rsidTr="004A6347">
        <w:trPr>
          <w:trHeight w:val="253"/>
        </w:trPr>
        <w:tc>
          <w:tcPr>
            <w:tcW w:w="7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п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275D7E" w:rsidRPr="00275D7E" w:rsidRDefault="00275D7E" w:rsidP="00AD6170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</w:t>
            </w: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тыс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.р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уб</w:t>
            </w:r>
            <w:proofErr w:type="spell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.), годы</w:t>
            </w:r>
          </w:p>
        </w:tc>
      </w:tr>
      <w:tr w:rsidR="00275D7E" w:rsidRPr="00983526" w:rsidTr="000057EB">
        <w:tc>
          <w:tcPr>
            <w:tcW w:w="7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275D7E" w:rsidRPr="00965A26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275D7E" w:rsidRPr="00965A26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ED793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275D7E" w:rsidRPr="00275D7E" w:rsidRDefault="00275D7E" w:rsidP="00275D7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75D7E" w:rsidRPr="00275D7E" w:rsidRDefault="00275D7E" w:rsidP="00AD617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75D7E" w:rsidRPr="00275D7E" w:rsidRDefault="00275D7E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275D7E" w:rsidRPr="00275D7E" w:rsidRDefault="00275D7E" w:rsidP="00275D7E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74490,28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51835,48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30 500,00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35823,51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FC479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19 253,99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22 500,00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4A4A7F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Align w:val="center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20 966,65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275D7E" w:rsidRDefault="00275D7E" w:rsidP="00AD6170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75D7E" w:rsidRPr="006313C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2 756,88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14C8" w:rsidRPr="00983526" w:rsidTr="000057EB">
        <w:tc>
          <w:tcPr>
            <w:tcW w:w="709" w:type="dxa"/>
          </w:tcPr>
          <w:p w:rsidR="001214C8" w:rsidRDefault="001214C8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1214C8" w:rsidRPr="00275D7E" w:rsidRDefault="001214C8" w:rsidP="00121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4C8" w:rsidRPr="00275D7E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214C8" w:rsidRPr="00275D7E" w:rsidRDefault="001214C8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214C8" w:rsidRPr="006313C7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214C8" w:rsidRPr="00275D7E" w:rsidRDefault="001214C8" w:rsidP="004A63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1214C8" w:rsidRDefault="001214C8" w:rsidP="009223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275D7E" w:rsidRPr="00275D7E" w:rsidRDefault="00275D7E" w:rsidP="009223E1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223E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22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3100,79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2668,76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8072B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Default="00275D7E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</w:tcPr>
          <w:p w:rsidR="00275D7E" w:rsidRPr="004A4A7F" w:rsidRDefault="00275D7E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2493,52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2595,84</w:t>
            </w:r>
          </w:p>
        </w:tc>
        <w:tc>
          <w:tcPr>
            <w:tcW w:w="851" w:type="dxa"/>
            <w:vAlign w:val="center"/>
          </w:tcPr>
          <w:p w:rsidR="00275D7E" w:rsidRPr="006313C7" w:rsidRDefault="00B362FC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8 606,17</w:t>
            </w:r>
          </w:p>
        </w:tc>
        <w:tc>
          <w:tcPr>
            <w:tcW w:w="992" w:type="dxa"/>
            <w:vAlign w:val="center"/>
          </w:tcPr>
          <w:p w:rsidR="00275D7E" w:rsidRPr="00275D7E" w:rsidRDefault="00DB0F64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243,12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Pr="00CB6AA7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851" w:type="dxa"/>
            <w:vAlign w:val="center"/>
          </w:tcPr>
          <w:p w:rsidR="00275D7E" w:rsidRPr="006313C7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1008,67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D7E" w:rsidRPr="00983526" w:rsidTr="000057EB">
        <w:tc>
          <w:tcPr>
            <w:tcW w:w="709" w:type="dxa"/>
            <w:vAlign w:val="center"/>
          </w:tcPr>
          <w:p w:rsidR="00275D7E" w:rsidRDefault="00275D7E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275D7E" w:rsidRPr="00275D7E" w:rsidRDefault="00275D7E" w:rsidP="00942640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275D7E" w:rsidRPr="00275D7E" w:rsidRDefault="00275D7E" w:rsidP="00DA4B1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942640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275D7E" w:rsidRPr="00275D7E" w:rsidRDefault="00275D7E" w:rsidP="00942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275D7E" w:rsidP="004A634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5D7E" w:rsidRPr="00275D7E" w:rsidRDefault="006313C7" w:rsidP="0094264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103"/>
      </w:tblGrid>
      <w:tr w:rsidR="007F3835" w:rsidRPr="007F3835" w:rsidTr="00716EC4">
        <w:tc>
          <w:tcPr>
            <w:tcW w:w="10598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5103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EC4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716EC4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муниципальной программе «Благоустройство территории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716EC4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16EC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Pr="00716EC4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6557" w:rsidRPr="00276557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Pr="00716EC4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557" w:rsidRPr="00EF76BC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300"/>
        <w:gridCol w:w="118"/>
        <w:gridCol w:w="1724"/>
        <w:gridCol w:w="552"/>
        <w:gridCol w:w="717"/>
        <w:gridCol w:w="713"/>
        <w:gridCol w:w="712"/>
        <w:gridCol w:w="708"/>
        <w:gridCol w:w="12"/>
        <w:gridCol w:w="697"/>
        <w:gridCol w:w="39"/>
        <w:gridCol w:w="670"/>
        <w:gridCol w:w="2126"/>
      </w:tblGrid>
      <w:tr w:rsidR="00B068FD" w:rsidRPr="007F3AC1" w:rsidTr="00CE62F4">
        <w:trPr>
          <w:trHeight w:val="5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B068FD" w:rsidRPr="007F3AC1" w:rsidTr="00CE62F4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068FD" w:rsidRPr="007F3AC1" w:rsidTr="00CE62F4">
        <w:trPr>
          <w:trHeight w:val="114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CE62F4">
        <w:trPr>
          <w:trHeight w:val="458"/>
          <w:tblCellSpacing w:w="5" w:type="nil"/>
        </w:trPr>
        <w:tc>
          <w:tcPr>
            <w:tcW w:w="147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B068FD" w:rsidRPr="007F3AC1" w:rsidTr="00276557">
        <w:trPr>
          <w:trHeight w:val="229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45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5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455258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455258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455258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B068FD" w:rsidRPr="007F3AC1" w:rsidTr="00276557">
        <w:trPr>
          <w:trHeight w:val="45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3B143A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461CD3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461CD3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276557">
        <w:trPr>
          <w:trHeight w:val="4953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включающет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в себя: посадка и уход за однолетниками, комплексный уход за многолетними декоративными культурами, стрижка, обрезка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уходовые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работы за  кустарниками, «живыми изгородями», посадки в рамках акций «Сад памяти», «Семья плюс», пр.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45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45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45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45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5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45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5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B068FD" w:rsidRPr="007F3AC1" w:rsidTr="00276557">
        <w:trPr>
          <w:trHeight w:val="153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B068FD" w:rsidRPr="007F3AC1" w:rsidRDefault="00B068FD" w:rsidP="00CE62F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276557">
        <w:trPr>
          <w:trHeight w:val="154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965A26" w:rsidRDefault="00455258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276557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965A26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CE62F4">
        <w:trPr>
          <w:trHeight w:val="431"/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FD" w:rsidRPr="007F3AC1" w:rsidRDefault="00B068FD" w:rsidP="00CE6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B068FD" w:rsidRPr="007F3AC1" w:rsidTr="00CE62F4">
        <w:trPr>
          <w:trHeight w:val="31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068FD" w:rsidRPr="007F3AC1" w:rsidTr="00CE62F4">
        <w:trPr>
          <w:trHeight w:val="187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отремонтированных</w:t>
            </w:r>
            <w:proofErr w:type="gramEnd"/>
          </w:p>
          <w:p w:rsidR="00B068FD" w:rsidRPr="007F3AC1" w:rsidRDefault="00B068FD" w:rsidP="00CE62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B068FD" w:rsidRPr="007F3AC1" w:rsidRDefault="00B068FD" w:rsidP="00CE62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CE62F4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Закупка и установка скамеек, урн и мусорных контейнеров</w:t>
            </w:r>
          </w:p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B068FD" w:rsidRPr="007F3AC1" w:rsidRDefault="00B068FD" w:rsidP="00CE62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068FD" w:rsidRPr="007F3AC1" w:rsidRDefault="00B068FD" w:rsidP="00CE62F4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EC7" w:rsidRPr="007F3AC1" w:rsidRDefault="007A3EC7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EC7" w:rsidRDefault="007A3EC7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068FD" w:rsidRPr="007F3AC1" w:rsidTr="00CE62F4">
        <w:trPr>
          <w:trHeight w:val="116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461CD3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CE62F4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B068FD" w:rsidRPr="007F3AC1" w:rsidRDefault="00B068FD" w:rsidP="00CE62F4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965A26" w:rsidRDefault="008F5704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7" w:rsidRPr="007F3AC1" w:rsidRDefault="007A3EC7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7" w:rsidRPr="007F3AC1" w:rsidRDefault="007A3EC7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7" w:rsidRPr="007F3AC1" w:rsidRDefault="009D3616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CE62F4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FD" w:rsidRPr="007F3AC1" w:rsidTr="00CE62F4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FD" w:rsidRPr="007F3AC1" w:rsidRDefault="00B068FD" w:rsidP="00CE62F4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AE2B58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716EC4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 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FE55C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E55C7" w:rsidRDefault="00FE55C7" w:rsidP="00FE55C7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FE55C7" w:rsidRDefault="00FE55C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E55C7" w:rsidRDefault="003F0164" w:rsidP="00FE55C7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5B2F4C" w:rsidRPr="007F3835" w:rsidTr="005B2F4C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10ED2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  <w:p w:rsidR="005B2F4C" w:rsidRPr="001B5426" w:rsidRDefault="005B2F4C" w:rsidP="00276557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площадка для выгула собак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5B2F4C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15550</w:t>
            </w:r>
          </w:p>
        </w:tc>
      </w:tr>
      <w:tr w:rsidR="005B2F4C" w:rsidRPr="007F3835" w:rsidTr="005B2F4C">
        <w:trPr>
          <w:trHeight w:val="20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10ED2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7F3835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5B2F4C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«Школьный»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FE55C7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</w:tr>
      <w:tr w:rsidR="001B5426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</w:tr>
      <w:tr w:rsidR="001B5426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426" w:rsidRPr="00FE55C7" w:rsidRDefault="001B5426" w:rsidP="001B5426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Благоустроенная территория вокруг озера Соленое в </w:t>
            </w:r>
            <w:proofErr w:type="spell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26" w:rsidRPr="00FE55C7" w:rsidRDefault="00FE55C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</w:tr>
      <w:tr w:rsidR="00342237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Pr="00FE55C7" w:rsidRDefault="0034223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37" w:rsidRPr="00FE55C7" w:rsidRDefault="00342237" w:rsidP="001B5426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hAnsi="Times New Roman" w:cs="Times New Roman"/>
                <w:sz w:val="20"/>
                <w:szCs w:val="20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(примерно в 30 м от ориентира здание по ул. </w:t>
            </w:r>
            <w:proofErr w:type="spellStart"/>
            <w:r w:rsidRPr="00FE55C7">
              <w:rPr>
                <w:rFonts w:ascii="Times New Roman" w:hAnsi="Times New Roman" w:cs="Times New Roman"/>
                <w:sz w:val="20"/>
                <w:szCs w:val="20"/>
              </w:rPr>
              <w:t>Первостроителей</w:t>
            </w:r>
            <w:proofErr w:type="spellEnd"/>
            <w:r w:rsidRPr="00FE55C7">
              <w:rPr>
                <w:rFonts w:ascii="Times New Roman" w:hAnsi="Times New Roman" w:cs="Times New Roman"/>
                <w:sz w:val="20"/>
                <w:szCs w:val="20"/>
              </w:rPr>
              <w:t>, 3Б)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Pr="00FE55C7" w:rsidRDefault="00D9661B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37" w:rsidRPr="00FE55C7" w:rsidRDefault="00D9661B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Default="0034223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</w:t>
            </w:r>
          </w:p>
        </w:tc>
      </w:tr>
    </w:tbl>
    <w:p w:rsidR="00B068FD" w:rsidRDefault="00B068FD" w:rsidP="008072B1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835" w:rsidRPr="007F3835" w:rsidRDefault="00B068FD" w:rsidP="00B068FD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саженцев в рамках проведения акции «Семья плюс» и «Сад памяти» может выполняться также на иных общественных территориях при наличии необходимых условий и площадей для посадочных работ»</w:t>
      </w: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A51405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A5140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7F3835" w:rsidRPr="00A51405" w:rsidRDefault="0028169C" w:rsidP="00AE2B5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6F4B0C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7140C3">
        <w:tc>
          <w:tcPr>
            <w:tcW w:w="773" w:type="dxa"/>
            <w:vAlign w:val="center"/>
          </w:tcPr>
          <w:p w:rsidR="000C20D0" w:rsidRPr="00A60C79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0C20D0" w:rsidRPr="00391BF8" w:rsidRDefault="000C20D0" w:rsidP="00391BF8">
            <w:pPr>
              <w:suppressAutoHyphens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253EF8">
              <w:rPr>
                <w:rFonts w:ascii="Times New Roman" w:hAnsi="Times New Roman" w:cs="Times New Roman"/>
              </w:rPr>
              <w:t>.С</w:t>
            </w:r>
            <w:proofErr w:type="gramEnd"/>
            <w:r w:rsidRPr="00253EF8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53EF8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253EF8">
              <w:rPr>
                <w:rFonts w:ascii="Times New Roman" w:hAnsi="Times New Roman" w:cs="Times New Roman"/>
              </w:rPr>
              <w:t>, д.22</w:t>
            </w:r>
            <w:r w:rsidR="00391BF8">
              <w:rPr>
                <w:rFonts w:ascii="Times New Roman" w:hAnsi="Times New Roman" w:cs="Times New Roman"/>
              </w:rPr>
              <w:t xml:space="preserve"> (</w:t>
            </w:r>
            <w:r w:rsidR="00391BF8">
              <w:rPr>
                <w:rFonts w:ascii="Times New Roman" w:hAnsi="Times New Roman" w:cs="Times New Roman"/>
                <w:lang w:val="en-US"/>
              </w:rPr>
              <w:t>I</w:t>
            </w:r>
            <w:r w:rsidR="00391BF8" w:rsidRPr="00391BF8">
              <w:rPr>
                <w:rFonts w:ascii="Times New Roman" w:hAnsi="Times New Roman" w:cs="Times New Roman"/>
              </w:rPr>
              <w:t xml:space="preserve"> </w:t>
            </w:r>
            <w:r w:rsidR="00391BF8">
              <w:rPr>
                <w:rFonts w:ascii="Times New Roman" w:hAnsi="Times New Roman" w:cs="Times New Roman"/>
              </w:rPr>
              <w:t>этап</w:t>
            </w:r>
            <w:r w:rsidR="00391BF8" w:rsidRPr="00391B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0C20D0" w:rsidRPr="00CE62F4" w:rsidRDefault="000C20D0" w:rsidP="007140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391BF8" w:rsidRPr="005779F2" w:rsidTr="007140C3">
        <w:tc>
          <w:tcPr>
            <w:tcW w:w="773" w:type="dxa"/>
            <w:vAlign w:val="center"/>
          </w:tcPr>
          <w:p w:rsidR="00391BF8" w:rsidRPr="00A60C79" w:rsidRDefault="00391BF8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391BF8" w:rsidRPr="00DA3F5C" w:rsidRDefault="00391BF8" w:rsidP="0068788B">
            <w:pPr>
              <w:suppressAutoHyphens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DA3F5C">
              <w:rPr>
                <w:rFonts w:ascii="Times New Roman" w:hAnsi="Times New Roman" w:cs="Times New Roman"/>
              </w:rPr>
              <w:t>.С</w:t>
            </w:r>
            <w:proofErr w:type="gramEnd"/>
            <w:r w:rsidRPr="00DA3F5C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DA3F5C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DA3F5C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DA3F5C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DA3F5C">
              <w:rPr>
                <w:rFonts w:ascii="Times New Roman" w:hAnsi="Times New Roman" w:cs="Times New Roman"/>
              </w:rPr>
              <w:t>, д.22 (</w:t>
            </w:r>
            <w:r w:rsidRPr="00DA3F5C">
              <w:rPr>
                <w:rFonts w:ascii="Times New Roman" w:hAnsi="Times New Roman" w:cs="Times New Roman"/>
                <w:lang w:val="en-US"/>
              </w:rPr>
              <w:t>II</w:t>
            </w:r>
            <w:r w:rsidRPr="00DA3F5C">
              <w:rPr>
                <w:rFonts w:ascii="Times New Roman" w:hAnsi="Times New Roman" w:cs="Times New Roman"/>
              </w:rPr>
              <w:t xml:space="preserve"> этап)</w:t>
            </w:r>
          </w:p>
        </w:tc>
        <w:tc>
          <w:tcPr>
            <w:tcW w:w="3402" w:type="dxa"/>
            <w:vAlign w:val="center"/>
          </w:tcPr>
          <w:p w:rsidR="00391BF8" w:rsidRPr="00DA3F5C" w:rsidRDefault="00391BF8" w:rsidP="007140C3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652EF" w:rsidTr="00AE2B58">
        <w:tc>
          <w:tcPr>
            <w:tcW w:w="5637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0652EF" w:rsidRPr="004E5351" w:rsidRDefault="00AE2B58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0652EF" w:rsidRPr="00AE2B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AE2B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 (этап проектирования)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AE2B58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AE2B58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AE2B58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1668" w:type="dxa"/>
          </w:tcPr>
          <w:p w:rsidR="009A3E02" w:rsidRPr="00AE2B58" w:rsidRDefault="009A3E02" w:rsidP="006F6D6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6D66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AE2B58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AE2B58" w:rsidRDefault="009A3E02" w:rsidP="006F6D6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6D66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AE2B58" w:rsidRDefault="009A3E02" w:rsidP="006F6D6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6D66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 по ул. Комсомольская, 2А.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97C5A" w:rsidRDefault="00697C5A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AE2B58" w:rsidRDefault="009A3E02" w:rsidP="006F6D6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6D66" w:rsidRPr="00AE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AE2B58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697C5A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AE2B58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AE2B58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AE2B58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AE2B58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AE2B58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AE2B58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AE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97C5A" w:rsidRDefault="009A3E02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697C5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AE2B58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8072B1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8072B1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6A6F13" w:rsidRPr="008072B1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72B1" w:rsidRPr="007F3835" w:rsidTr="00E207D4">
        <w:trPr>
          <w:trHeight w:val="688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5F3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712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6F6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2B1" w:rsidRPr="007F3835" w:rsidTr="00E207D4">
        <w:trPr>
          <w:trHeight w:val="695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6F6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14" w:rsidRDefault="009A0C14" w:rsidP="006E7B7D">
      <w:pPr>
        <w:spacing w:after="0" w:line="240" w:lineRule="auto"/>
      </w:pPr>
      <w:r>
        <w:separator/>
      </w:r>
    </w:p>
  </w:endnote>
  <w:endnote w:type="continuationSeparator" w:id="0">
    <w:p w:rsidR="009A0C14" w:rsidRDefault="009A0C14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14" w:rsidRDefault="009A0C14" w:rsidP="006E7B7D">
      <w:pPr>
        <w:spacing w:after="0" w:line="240" w:lineRule="auto"/>
      </w:pPr>
      <w:r>
        <w:separator/>
      </w:r>
    </w:p>
  </w:footnote>
  <w:footnote w:type="continuationSeparator" w:id="0">
    <w:p w:rsidR="009A0C14" w:rsidRDefault="009A0C14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Content>
      <w:p w:rsidR="00716EC4" w:rsidRDefault="00716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B7">
          <w:rPr>
            <w:noProof/>
          </w:rPr>
          <w:t>20</w:t>
        </w:r>
        <w:r>
          <w:fldChar w:fldCharType="end"/>
        </w:r>
      </w:p>
    </w:sdtContent>
  </w:sdt>
  <w:p w:rsidR="00716EC4" w:rsidRDefault="00716E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Content>
      <w:p w:rsidR="00716EC4" w:rsidRDefault="00716EC4">
        <w:pPr>
          <w:pStyle w:val="a4"/>
          <w:jc w:val="center"/>
        </w:pPr>
      </w:p>
      <w:p w:rsidR="00716EC4" w:rsidRDefault="00716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B7">
          <w:rPr>
            <w:noProof/>
          </w:rPr>
          <w:t>24</w:t>
        </w:r>
        <w:r>
          <w:fldChar w:fldCharType="end"/>
        </w:r>
      </w:p>
    </w:sdtContent>
  </w:sdt>
  <w:p w:rsidR="00716EC4" w:rsidRDefault="00716E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06738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217D"/>
    <w:rsid w:val="000F4BA4"/>
    <w:rsid w:val="00101372"/>
    <w:rsid w:val="00102361"/>
    <w:rsid w:val="001053E5"/>
    <w:rsid w:val="00107A39"/>
    <w:rsid w:val="00112716"/>
    <w:rsid w:val="001214C8"/>
    <w:rsid w:val="0012188B"/>
    <w:rsid w:val="00124E88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426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4B2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76557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237"/>
    <w:rsid w:val="003427FF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55258"/>
    <w:rsid w:val="00461CD3"/>
    <w:rsid w:val="0046258C"/>
    <w:rsid w:val="0046541C"/>
    <w:rsid w:val="00466E44"/>
    <w:rsid w:val="004671BA"/>
    <w:rsid w:val="004672E9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4F5FCB"/>
    <w:rsid w:val="005014F0"/>
    <w:rsid w:val="005100B0"/>
    <w:rsid w:val="005128F1"/>
    <w:rsid w:val="0051311D"/>
    <w:rsid w:val="005162E2"/>
    <w:rsid w:val="005207BE"/>
    <w:rsid w:val="0052152F"/>
    <w:rsid w:val="0052181A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2F4C"/>
    <w:rsid w:val="005B6CE8"/>
    <w:rsid w:val="005B7D69"/>
    <w:rsid w:val="005C1BC2"/>
    <w:rsid w:val="005C3168"/>
    <w:rsid w:val="005D091B"/>
    <w:rsid w:val="005D0B9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3EA7"/>
    <w:rsid w:val="006F4B0C"/>
    <w:rsid w:val="006F540D"/>
    <w:rsid w:val="006F62DA"/>
    <w:rsid w:val="006F6D66"/>
    <w:rsid w:val="006F7EE0"/>
    <w:rsid w:val="007005DA"/>
    <w:rsid w:val="007012C9"/>
    <w:rsid w:val="00701BC9"/>
    <w:rsid w:val="0070273D"/>
    <w:rsid w:val="00703EEE"/>
    <w:rsid w:val="00707F57"/>
    <w:rsid w:val="00710570"/>
    <w:rsid w:val="007140C3"/>
    <w:rsid w:val="00716404"/>
    <w:rsid w:val="00716EC4"/>
    <w:rsid w:val="007222CE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A7B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A3EC7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17F0"/>
    <w:rsid w:val="00812177"/>
    <w:rsid w:val="0082041E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2A6"/>
    <w:rsid w:val="008A3BC6"/>
    <w:rsid w:val="008A3C93"/>
    <w:rsid w:val="008A4409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704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63714"/>
    <w:rsid w:val="00963783"/>
    <w:rsid w:val="00965587"/>
    <w:rsid w:val="00965A26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C14"/>
    <w:rsid w:val="009A0F09"/>
    <w:rsid w:val="009A346B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3616"/>
    <w:rsid w:val="009D7A56"/>
    <w:rsid w:val="009E299C"/>
    <w:rsid w:val="009E2B24"/>
    <w:rsid w:val="009E4567"/>
    <w:rsid w:val="009E6EF8"/>
    <w:rsid w:val="009F1002"/>
    <w:rsid w:val="009F2AB7"/>
    <w:rsid w:val="009F5AC8"/>
    <w:rsid w:val="009F61C1"/>
    <w:rsid w:val="009F61E7"/>
    <w:rsid w:val="00A02D60"/>
    <w:rsid w:val="00A033ED"/>
    <w:rsid w:val="00A03B8B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2B58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068FD"/>
    <w:rsid w:val="00B10D78"/>
    <w:rsid w:val="00B10EBC"/>
    <w:rsid w:val="00B11D50"/>
    <w:rsid w:val="00B149F6"/>
    <w:rsid w:val="00B17B1C"/>
    <w:rsid w:val="00B204BB"/>
    <w:rsid w:val="00B32955"/>
    <w:rsid w:val="00B335A9"/>
    <w:rsid w:val="00B33BCB"/>
    <w:rsid w:val="00B362FC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19A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A426D"/>
    <w:rsid w:val="00BB082B"/>
    <w:rsid w:val="00BB3FFD"/>
    <w:rsid w:val="00BB4424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4FB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62F4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00B0"/>
    <w:rsid w:val="00D6211F"/>
    <w:rsid w:val="00D6236F"/>
    <w:rsid w:val="00D6475B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61B"/>
    <w:rsid w:val="00D96840"/>
    <w:rsid w:val="00DA0F44"/>
    <w:rsid w:val="00DA2F65"/>
    <w:rsid w:val="00DA3F5C"/>
    <w:rsid w:val="00DA4B14"/>
    <w:rsid w:val="00DA4D73"/>
    <w:rsid w:val="00DB0D83"/>
    <w:rsid w:val="00DB0F64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153"/>
    <w:rsid w:val="00DE2716"/>
    <w:rsid w:val="00DE2B8E"/>
    <w:rsid w:val="00DE2D77"/>
    <w:rsid w:val="00DE3724"/>
    <w:rsid w:val="00DE3DCF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2FA"/>
    <w:rsid w:val="00E76A9C"/>
    <w:rsid w:val="00E824DE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4791"/>
    <w:rsid w:val="00FC621D"/>
    <w:rsid w:val="00FC7EE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E55C7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7ACB-7266-4F79-A79A-88E2E13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33</Pages>
  <Words>7751</Words>
  <Characters>44183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15</cp:revision>
  <cp:lastPrinted>2024-01-22T00:34:00Z</cp:lastPrinted>
  <dcterms:created xsi:type="dcterms:W3CDTF">2024-01-11T01:23:00Z</dcterms:created>
  <dcterms:modified xsi:type="dcterms:W3CDTF">2024-03-26T01:48:00Z</dcterms:modified>
</cp:coreProperties>
</file>