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98" w:rsidRPr="00AC2243" w:rsidRDefault="00AC2243" w:rsidP="00AC2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43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AC2243" w:rsidRDefault="00AC2243" w:rsidP="00AC224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ходе реализации муниципальной программы </w:t>
      </w:r>
    </w:p>
    <w:p w:rsidR="00AC2243" w:rsidRDefault="00AC2243" w:rsidP="00AC224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Комплексное развитие сельских территорий Находкинского городского округа </w:t>
      </w:r>
    </w:p>
    <w:p w:rsidR="00AC2243" w:rsidRDefault="00AC2243" w:rsidP="00AC224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2021-2024 годы»</w:t>
      </w:r>
    </w:p>
    <w:p w:rsidR="00AC2243" w:rsidRDefault="00AC2243" w:rsidP="00AC2243">
      <w:pPr>
        <w:spacing w:line="240" w:lineRule="auto"/>
        <w:jc w:val="center"/>
        <w:rPr>
          <w:rFonts w:ascii="Times New Roman" w:hAnsi="Times New Roman" w:cs="Times New Roman"/>
        </w:rPr>
      </w:pP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территориальное управление «поселок Ливадия».</w:t>
      </w: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Отчетный период: 2021 год.</w:t>
      </w: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Непосредственный исполнитель:</w:t>
      </w:r>
      <w:r w:rsidR="00DA14C4">
        <w:rPr>
          <w:rFonts w:ascii="Times New Roman" w:hAnsi="Times New Roman" w:cs="Times New Roman"/>
        </w:rPr>
        <w:t xml:space="preserve"> главный специалист МКУ «Управления городским хозяйством»</w:t>
      </w:r>
    </w:p>
    <w:p w:rsidR="00DA14C4" w:rsidRPr="0007707C" w:rsidRDefault="00DA14C4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Е.А.</w:t>
      </w:r>
    </w:p>
    <w:p w:rsidR="0007707C" w:rsidRDefault="0007707C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651314</w:t>
      </w:r>
    </w:p>
    <w:p w:rsidR="0007707C" w:rsidRPr="0007707C" w:rsidRDefault="0007707C" w:rsidP="00AC2243">
      <w:pPr>
        <w:spacing w:line="240" w:lineRule="auto"/>
        <w:rPr>
          <w:rFonts w:ascii="Times New Roman" w:hAnsi="Times New Roman" w:cs="Times New Roman"/>
        </w:rPr>
      </w:pPr>
      <w:r w:rsidRPr="0007707C">
        <w:rPr>
          <w:rFonts w:ascii="Times New Roman" w:hAnsi="Times New Roman" w:cs="Times New Roman"/>
          <w:sz w:val="23"/>
          <w:szCs w:val="23"/>
          <w:shd w:val="clear" w:color="auto" w:fill="FFFFFF"/>
        </w:rPr>
        <w:t>kuznesova.k83@mail.ru</w:t>
      </w: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</w:p>
    <w:p w:rsidR="00DA14C4" w:rsidRDefault="00DA14C4" w:rsidP="00AC2243">
      <w:pPr>
        <w:spacing w:line="240" w:lineRule="auto"/>
        <w:rPr>
          <w:rFonts w:ascii="Times New Roman" w:hAnsi="Times New Roman" w:cs="Times New Roman"/>
        </w:rPr>
      </w:pPr>
    </w:p>
    <w:p w:rsidR="00DA14C4" w:rsidRDefault="00DA14C4" w:rsidP="00AC2243">
      <w:pPr>
        <w:spacing w:line="240" w:lineRule="auto"/>
        <w:rPr>
          <w:rFonts w:ascii="Times New Roman" w:hAnsi="Times New Roman" w:cs="Times New Roman"/>
        </w:rPr>
      </w:pPr>
    </w:p>
    <w:p w:rsidR="00DA14C4" w:rsidRDefault="00DA14C4" w:rsidP="00AC2243">
      <w:pPr>
        <w:spacing w:line="240" w:lineRule="auto"/>
        <w:rPr>
          <w:rFonts w:ascii="Times New Roman" w:hAnsi="Times New Roman" w:cs="Times New Roman"/>
        </w:rPr>
      </w:pP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</w:p>
    <w:p w:rsidR="00AC2243" w:rsidRDefault="00AC2243" w:rsidP="00AC2243">
      <w:pPr>
        <w:spacing w:line="240" w:lineRule="auto"/>
        <w:rPr>
          <w:rFonts w:ascii="Times New Roman" w:hAnsi="Times New Roman" w:cs="Times New Roman"/>
        </w:rPr>
      </w:pPr>
    </w:p>
    <w:p w:rsidR="00AC2243" w:rsidRPr="00AC2243" w:rsidRDefault="00AC2243" w:rsidP="00AC2243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AC2243" w:rsidRP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округа-</w:t>
      </w:r>
    </w:p>
    <w:p w:rsidR="00AC2243" w:rsidRP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2243" w:rsidRP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 микрорайона города</w:t>
      </w:r>
    </w:p>
    <w:p w:rsidR="00AC2243" w:rsidRP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Ливадия»  администрации</w:t>
      </w: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                                                         С. А. Подгорный</w:t>
      </w: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Default="00AC2243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243" w:rsidRPr="008B20AE" w:rsidRDefault="00AC2243" w:rsidP="00AC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записка.</w:t>
      </w:r>
    </w:p>
    <w:p w:rsidR="00AC2243" w:rsidRPr="008B20AE" w:rsidRDefault="00AC2243" w:rsidP="00AC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243" w:rsidRDefault="003C65F8" w:rsidP="008B20A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«Комплексное развитие сельских территорий Находкинского городского округа  на 2021-2024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принята Постановлением администрации Находкинского городского округа от 16.10.2020 г. №1094.</w:t>
      </w:r>
    </w:p>
    <w:p w:rsidR="008B20AE" w:rsidRPr="008B20AE" w:rsidRDefault="003C65F8" w:rsidP="008B20A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течение 2021 года в Программу 1 раз вносились изменения: постановлением администрации Находкинского городского округа </w:t>
      </w:r>
      <w:r w:rsidR="00FF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446 от 23.04.2021 г. </w:t>
      </w:r>
    </w:p>
    <w:p w:rsidR="008B20AE" w:rsidRPr="00F9692B" w:rsidRDefault="008B20AE" w:rsidP="008B20A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B2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C6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B92">
        <w:rPr>
          <w:rFonts w:ascii="Times New Roman" w:hAnsi="Times New Roman" w:cs="Times New Roman"/>
          <w:sz w:val="26"/>
          <w:szCs w:val="26"/>
        </w:rPr>
        <w:t xml:space="preserve"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   </w:t>
      </w:r>
      <w:proofErr w:type="gramStart"/>
      <w:r w:rsidRPr="00DB2B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B2B92">
        <w:rPr>
          <w:rFonts w:ascii="Times New Roman" w:hAnsi="Times New Roman" w:cs="Times New Roman"/>
          <w:sz w:val="26"/>
          <w:szCs w:val="26"/>
        </w:rPr>
        <w:t xml:space="preserve">. Анна и с. </w:t>
      </w:r>
      <w:proofErr w:type="spellStart"/>
      <w:r w:rsidRPr="00DB2B92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DB2B92">
        <w:rPr>
          <w:rFonts w:ascii="Times New Roman" w:hAnsi="Times New Roman" w:cs="Times New Roman"/>
          <w:sz w:val="26"/>
          <w:szCs w:val="26"/>
        </w:rPr>
        <w:t>.</w:t>
      </w:r>
    </w:p>
    <w:p w:rsidR="008B20AE" w:rsidRDefault="008B20AE" w:rsidP="008B20A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0AE" w:rsidRPr="008B20AE" w:rsidRDefault="008B20AE" w:rsidP="008B20A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37A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Конкретные результаты реализации Программы, достигнутые за 2021 год.</w:t>
      </w:r>
    </w:p>
    <w:p w:rsidR="003C65F8" w:rsidRDefault="003C65F8" w:rsidP="00AC2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22A" w:rsidRPr="0055122A" w:rsidRDefault="00F9692B" w:rsidP="005512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4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реализации программы </w:t>
      </w:r>
      <w:r w:rsidR="0033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достигнуто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показателя (индикатора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</w:t>
      </w:r>
    </w:p>
    <w:p w:rsidR="002F4935" w:rsidRPr="00DB2B92" w:rsidRDefault="00C06B43" w:rsidP="002F4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7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отремонтированных </w:t>
      </w:r>
      <w:r w:rsidR="00E60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лестниц в количестве 1 единица. Источником информации  </w:t>
      </w:r>
      <w:r w:rsidR="00DC5E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 (индикатора) является акт приемки выполненных работ, форма КС-2</w:t>
      </w:r>
    </w:p>
    <w:p w:rsidR="002F4935" w:rsidRDefault="002F4935" w:rsidP="002F49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Плановое значение индикатора достигнуто, отклонений нет.</w:t>
      </w:r>
    </w:p>
    <w:p w:rsidR="00E42834" w:rsidRDefault="002F4935" w:rsidP="00C06B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05A23" w:rsidRDefault="00C06B43" w:rsidP="00E05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05A23" w:rsidRPr="00E05A23">
        <w:rPr>
          <w:rFonts w:ascii="Times New Roman" w:hAnsi="Times New Roman" w:cs="Times New Roman"/>
          <w:b/>
          <w:sz w:val="26"/>
          <w:szCs w:val="26"/>
        </w:rPr>
        <w:t>Перечень выполненных</w:t>
      </w:r>
      <w:r w:rsidR="002B1479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E05A23" w:rsidRPr="00E05A23">
        <w:rPr>
          <w:rFonts w:ascii="Times New Roman" w:hAnsi="Times New Roman" w:cs="Times New Roman"/>
          <w:b/>
          <w:sz w:val="26"/>
          <w:szCs w:val="26"/>
        </w:rPr>
        <w:t xml:space="preserve"> невыполненных мероприятий за 2021 год</w:t>
      </w:r>
      <w:r w:rsidR="00E05A23">
        <w:rPr>
          <w:rFonts w:ascii="Times New Roman" w:hAnsi="Times New Roman" w:cs="Times New Roman"/>
          <w:b/>
          <w:sz w:val="26"/>
          <w:szCs w:val="26"/>
        </w:rPr>
        <w:t>.</w:t>
      </w:r>
    </w:p>
    <w:p w:rsidR="00C06B43" w:rsidRDefault="00C06B43" w:rsidP="00C06B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05A23">
        <w:rPr>
          <w:rFonts w:ascii="Times New Roman" w:hAnsi="Times New Roman" w:cs="Times New Roman"/>
          <w:sz w:val="26"/>
          <w:szCs w:val="26"/>
        </w:rPr>
        <w:t xml:space="preserve">Реализация программы </w:t>
      </w:r>
      <w:r w:rsidRPr="00C06B43">
        <w:rPr>
          <w:rFonts w:ascii="Times New Roman" w:hAnsi="Times New Roman" w:cs="Times New Roman"/>
          <w:sz w:val="26"/>
          <w:szCs w:val="26"/>
        </w:rPr>
        <w:t>« Комплексное развитие се</w:t>
      </w:r>
      <w:r>
        <w:rPr>
          <w:rFonts w:ascii="Times New Roman" w:hAnsi="Times New Roman" w:cs="Times New Roman"/>
          <w:sz w:val="26"/>
          <w:szCs w:val="26"/>
        </w:rPr>
        <w:t xml:space="preserve">льских территорий Находкинского </w:t>
      </w:r>
      <w:r w:rsidRPr="00C06B43">
        <w:rPr>
          <w:rFonts w:ascii="Times New Roman" w:hAnsi="Times New Roman" w:cs="Times New Roman"/>
          <w:sz w:val="26"/>
          <w:szCs w:val="26"/>
        </w:rPr>
        <w:t>городского округа на 2021-2024 годы»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осуществлялась путем выполнения мероприятий:</w:t>
      </w:r>
    </w:p>
    <w:p w:rsidR="00C06B43" w:rsidRPr="00C06B43" w:rsidRDefault="00D972E5" w:rsidP="00C06B4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Разработаны и утверждены ПСД</w:t>
      </w:r>
      <w:r>
        <w:rPr>
          <w:rFonts w:ascii="Times New Roman" w:eastAsia="Calibri" w:hAnsi="Times New Roman"/>
          <w:bCs/>
          <w:sz w:val="26"/>
          <w:szCs w:val="26"/>
        </w:rPr>
        <w:t xml:space="preserve"> на обустройство</w:t>
      </w:r>
      <w:r w:rsidR="00C06B43" w:rsidRPr="0055122A">
        <w:rPr>
          <w:rFonts w:ascii="Times New Roman" w:eastAsia="Calibri" w:hAnsi="Times New Roman"/>
          <w:bCs/>
          <w:sz w:val="26"/>
          <w:szCs w:val="26"/>
        </w:rPr>
        <w:t xml:space="preserve"> спортивной площадки</w:t>
      </w:r>
      <w:r w:rsidR="00C06B43" w:rsidRPr="0055122A">
        <w:rPr>
          <w:rFonts w:ascii="Times New Roman" w:hAnsi="Times New Roman"/>
          <w:sz w:val="26"/>
          <w:szCs w:val="26"/>
        </w:rPr>
        <w:t xml:space="preserve"> на территории муниципального бюджетного учреждения дополнительного образования «Центр внешкольной работы» Находкинского городс</w:t>
      </w:r>
      <w:r w:rsidR="00C06B43">
        <w:rPr>
          <w:rFonts w:ascii="Times New Roman" w:hAnsi="Times New Roman"/>
          <w:sz w:val="26"/>
          <w:szCs w:val="26"/>
        </w:rPr>
        <w:t xml:space="preserve">кого округа по  </w:t>
      </w:r>
      <w:r w:rsidR="00C06B43" w:rsidRPr="0055122A">
        <w:rPr>
          <w:rFonts w:ascii="Times New Roman" w:hAnsi="Times New Roman"/>
          <w:sz w:val="26"/>
          <w:szCs w:val="26"/>
        </w:rPr>
        <w:t xml:space="preserve">улице Комарова, 13, в селе  </w:t>
      </w:r>
      <w:proofErr w:type="spellStart"/>
      <w:r w:rsidR="00C06B43" w:rsidRPr="0055122A">
        <w:rPr>
          <w:rFonts w:ascii="Times New Roman" w:hAnsi="Times New Roman"/>
          <w:sz w:val="26"/>
          <w:szCs w:val="26"/>
        </w:rPr>
        <w:t>Душкино</w:t>
      </w:r>
      <w:proofErr w:type="spellEnd"/>
      <w:r w:rsidR="00C06B43">
        <w:rPr>
          <w:rFonts w:ascii="Times New Roman" w:hAnsi="Times New Roman"/>
          <w:sz w:val="26"/>
          <w:szCs w:val="26"/>
        </w:rPr>
        <w:t>.</w:t>
      </w:r>
      <w:proofErr w:type="gramEnd"/>
    </w:p>
    <w:p w:rsidR="00C06B43" w:rsidRPr="00C06B43" w:rsidRDefault="0021075B" w:rsidP="00C06B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Разработаны и утверждены ПСД на</w:t>
      </w:r>
      <w:r w:rsidR="00C06B43" w:rsidRPr="00C06B43">
        <w:rPr>
          <w:rFonts w:ascii="Times New Roman" w:eastAsia="Calibri" w:hAnsi="Times New Roman" w:cs="Times New Roman"/>
          <w:sz w:val="26"/>
          <w:szCs w:val="26"/>
        </w:rPr>
        <w:t xml:space="preserve"> орга</w:t>
      </w:r>
      <w:r>
        <w:rPr>
          <w:rFonts w:ascii="Times New Roman" w:eastAsia="Calibri" w:hAnsi="Times New Roman" w:cs="Times New Roman"/>
          <w:sz w:val="26"/>
          <w:szCs w:val="26"/>
        </w:rPr>
        <w:t>низацию</w:t>
      </w:r>
      <w:r w:rsidR="00C06B43" w:rsidRPr="00C06B43">
        <w:rPr>
          <w:rFonts w:ascii="Times New Roman" w:eastAsia="Calibri" w:hAnsi="Times New Roman" w:cs="Times New Roman"/>
          <w:sz w:val="26"/>
          <w:szCs w:val="26"/>
        </w:rPr>
        <w:t xml:space="preserve"> уличног</w:t>
      </w:r>
      <w:r>
        <w:rPr>
          <w:rFonts w:ascii="Times New Roman" w:eastAsia="Calibri" w:hAnsi="Times New Roman" w:cs="Times New Roman"/>
          <w:sz w:val="26"/>
          <w:szCs w:val="26"/>
        </w:rPr>
        <w:t>о освещения сельских территорий</w:t>
      </w:r>
      <w:r w:rsidR="00C06B43" w:rsidRPr="00C06B4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C06B43" w:rsidRPr="00C06B43" w:rsidRDefault="0021075B" w:rsidP="00C06B4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и утверждены ПСД </w:t>
      </w:r>
      <w:r w:rsidR="00C06B43" w:rsidRPr="00DB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фасад структурного подразделения «Клуб  села Анна  муниципального бюджетного учреждения культуры» </w:t>
      </w:r>
      <w:proofErr w:type="spellStart"/>
      <w:r w:rsidR="00C06B43" w:rsidRPr="00DB2B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Ливадийский</w:t>
      </w:r>
      <w:proofErr w:type="spellEnd"/>
      <w:r w:rsidR="00C06B43" w:rsidRPr="00DB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 Находкинского городского округа.</w:t>
      </w:r>
    </w:p>
    <w:p w:rsidR="00E05A23" w:rsidRPr="00C06B43" w:rsidRDefault="00D972E5" w:rsidP="00C06B4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Разработаны и утверждены ПСД</w:t>
      </w:r>
      <w:r w:rsidR="00C06B43" w:rsidRPr="00E428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B43" w:rsidRPr="00E42834">
        <w:rPr>
          <w:rFonts w:ascii="Times New Roman" w:eastAsia="Calibri" w:hAnsi="Times New Roman" w:cs="Times New Roman"/>
          <w:sz w:val="26"/>
          <w:szCs w:val="26"/>
        </w:rPr>
        <w:t xml:space="preserve">по сохранению выявленного объекта культурного наследия монумент «Жителям села Анна, павшим в сражениях Великой Отечественной войны 1941-1945 г. </w:t>
      </w:r>
      <w:proofErr w:type="gramStart"/>
      <w:r w:rsidR="00C06B43" w:rsidRPr="00E42834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</w:p>
    <w:p w:rsidR="00E42834" w:rsidRPr="00C06B43" w:rsidRDefault="00771E38" w:rsidP="00010234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Разработаны и утверждены ПСД</w:t>
      </w:r>
      <w:r w:rsidR="00C06B43" w:rsidRPr="00C06B43">
        <w:rPr>
          <w:rFonts w:ascii="Times New Roman" w:eastAsia="Calibri" w:hAnsi="Times New Roman" w:cs="Times New Roman"/>
          <w:sz w:val="26"/>
          <w:szCs w:val="26"/>
        </w:rPr>
        <w:t xml:space="preserve"> по сохранению выявленного объекта культурного наследия памятника « Жителям села </w:t>
      </w:r>
      <w:proofErr w:type="spellStart"/>
      <w:r w:rsidR="00C06B43" w:rsidRPr="00C06B43">
        <w:rPr>
          <w:rFonts w:ascii="Times New Roman" w:eastAsia="Calibri" w:hAnsi="Times New Roman" w:cs="Times New Roman"/>
          <w:sz w:val="26"/>
          <w:szCs w:val="26"/>
        </w:rPr>
        <w:t>Душкино</w:t>
      </w:r>
      <w:proofErr w:type="spellEnd"/>
      <w:r w:rsidR="00C06B43" w:rsidRPr="00C06B43">
        <w:rPr>
          <w:rFonts w:ascii="Times New Roman" w:eastAsia="Calibri" w:hAnsi="Times New Roman" w:cs="Times New Roman"/>
          <w:sz w:val="26"/>
          <w:szCs w:val="26"/>
        </w:rPr>
        <w:t xml:space="preserve">, павшим в сражениях Великой Отечественной войны 1941-1945 </w:t>
      </w:r>
      <w:proofErr w:type="spellStart"/>
      <w:r w:rsidR="00C06B43" w:rsidRPr="00C06B43">
        <w:rPr>
          <w:rFonts w:ascii="Times New Roman" w:eastAsia="Calibri" w:hAnsi="Times New Roman" w:cs="Times New Roman"/>
          <w:sz w:val="26"/>
          <w:szCs w:val="26"/>
        </w:rPr>
        <w:t>г.</w:t>
      </w:r>
      <w:proofErr w:type="gramStart"/>
      <w:r w:rsidR="00C06B43" w:rsidRPr="00C06B43">
        <w:rPr>
          <w:rFonts w:ascii="Times New Roman" w:eastAsia="Calibri" w:hAnsi="Times New Roman" w:cs="Times New Roman"/>
          <w:sz w:val="26"/>
          <w:szCs w:val="26"/>
        </w:rPr>
        <w:t>г</w:t>
      </w:r>
      <w:proofErr w:type="spellEnd"/>
      <w:proofErr w:type="gramEnd"/>
      <w:r w:rsidR="00C06B43" w:rsidRPr="00C06B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0234" w:rsidRPr="00010234" w:rsidRDefault="00010234" w:rsidP="000102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517E6" w:rsidRDefault="00010234" w:rsidP="0001023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Оценка эффективности реализации Программы.</w:t>
      </w:r>
    </w:p>
    <w:p w:rsidR="00010234" w:rsidRDefault="00010234" w:rsidP="0001023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 за отчетный 2021 год.)</w:t>
      </w:r>
    </w:p>
    <w:p w:rsidR="00010234" w:rsidRDefault="00010234" w:rsidP="00010234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EBD" w:rsidRDefault="00906EBD" w:rsidP="00906EB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Оценка эффективности муниципальной программы проведена согласно методике оценки эффективности реализации  муниципальной программы,</w:t>
      </w:r>
      <w:r w:rsidRPr="0090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Постановлением администрации Находкинского городского округа от 16.10.2020 г. №1094.  «Комплексное развитие сельских территорий Находкинского городского округа  на 2021-2024 годы»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B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91B8B" w:rsidRDefault="00D91B8B" w:rsidP="00D91B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1 . </w:t>
      </w:r>
      <w:r w:rsidRPr="00DB2B9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степени достижения целей и решения задач муниципальной программы.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1B8B" w:rsidRDefault="00D91B8B" w:rsidP="00771E3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593" w:rsidRDefault="00771E38" w:rsidP="00900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Степень реализации программы</w:t>
      </w:r>
      <w:r w:rsidR="00900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900593">
        <w:rPr>
          <w:rFonts w:ascii="Times New Roman" w:eastAsia="Times New Roman" w:hAnsi="Times New Roman" w:cs="Times New Roman"/>
          <w:sz w:val="26"/>
          <w:szCs w:val="26"/>
          <w:lang w:eastAsia="ru-RU"/>
        </w:rPr>
        <w:t>1/1=1)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1E38" w:rsidRDefault="00771E38" w:rsidP="00900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593" w:rsidRPr="00DB2B92" w:rsidRDefault="00900593" w:rsidP="00900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2 .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соответствия запланированному уровню затрат.</w:t>
      </w:r>
    </w:p>
    <w:p w:rsidR="00900593" w:rsidRPr="00DB2B92" w:rsidRDefault="00900593" w:rsidP="00900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</w:t>
      </w:r>
      <w:proofErr w:type="spellStart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 w:rsidRPr="00DB2B92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= </w:t>
      </w:r>
      <m:oMath>
        <m:r>
          <w:rPr>
            <w:rFonts w:ascii="Cambria Math" w:eastAsia="Batang" w:hAnsi="Cambria Math"/>
            <w:sz w:val="26"/>
            <w:szCs w:val="26"/>
            <w:lang w:eastAsia="ko-KR"/>
          </w:rPr>
          <m:t xml:space="preserve">  </m:t>
        </m:r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w:proofErr w:type="gramStart"/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  <w:proofErr w:type="gramEnd"/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план</m:t>
                </m:r>
              </m:sub>
            </m:sSub>
          </m:den>
        </m:f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,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proofErr w:type="spellStart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 w:rsidRPr="00DB2B92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 xml:space="preserve">  </w:t>
      </w:r>
      <w:r w:rsidR="0077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2 507, 19/ 2 559,74 = 0,98</w:t>
      </w:r>
    </w:p>
    <w:p w:rsidR="00900593" w:rsidRPr="00DB2B92" w:rsidRDefault="00900593" w:rsidP="00D91B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B8B" w:rsidRDefault="00DC4561" w:rsidP="00906EBD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3 .  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реализации мероприятий.</w:t>
      </w:r>
    </w:p>
    <w:p w:rsidR="00DC4561" w:rsidRDefault="00DC4561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</w:t>
      </w:r>
      <m:oMath>
        <m:sSub>
          <m:sSub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e>
          <m:sub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р</m:t>
            </m:r>
          </m:sub>
        </m:sSub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= </w:t>
      </w:r>
      <m:oMath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М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в</m:t>
                </m:r>
              </m:sub>
            </m:sSub>
          </m:num>
          <m:den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den>
        </m:f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М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spellEnd"/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r w:rsidR="002B1479">
        <w:rPr>
          <w:rFonts w:ascii="Times New Roman" w:eastAsia="Batang" w:hAnsi="Times New Roman" w:cs="Times New Roman"/>
          <w:sz w:val="26"/>
          <w:szCs w:val="26"/>
          <w:lang w:eastAsia="ko-KR"/>
        </w:rPr>
        <w:t>= 6/6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=1 </w:t>
      </w:r>
    </w:p>
    <w:p w:rsidR="00DC4561" w:rsidRPr="00DC4561" w:rsidRDefault="00DC4561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DC4561" w:rsidRDefault="00DC4561" w:rsidP="00906EBD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4 .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эффективности реализации муниципальной программы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DC4561" w:rsidRPr="00DB2B92" w:rsidRDefault="00DC4561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</w:p>
    <w:p w:rsidR="00DA14C4" w:rsidRDefault="00DC4561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Э = </w:t>
      </w:r>
      <m:oMath>
        <m:box>
          <m:box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fPr>
              <m:num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(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val="en-US" w:eastAsia="ko-KR"/>
                  </w:rPr>
                  <m:t>I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eastAsia="ko-KR"/>
                  </w:rPr>
                  <m:t>ц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С</m:t>
                </m:r>
                <m:r>
                  <w:rPr>
                    <w:rFonts w:ascii="Cambria Math" w:eastAsia="Batang" w:hAnsi="Cambria Math"/>
                    <w:sz w:val="26"/>
                    <w:szCs w:val="26"/>
                    <w:vertAlign w:val="subscript"/>
                    <w:lang w:eastAsia="ko-KR"/>
                  </w:rPr>
                  <m:t>фин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Batang" w:hAnsi="Cambria Math"/>
                        <w:i/>
                        <w:sz w:val="26"/>
                        <w:szCs w:val="2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М</m:t>
                    </m:r>
                  </m:e>
                  <m:sub>
                    <w:proofErr w:type="gramStart"/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р</m:t>
                    </m:r>
                    <w:proofErr w:type="gramEnd"/>
                  </m:sub>
                </m:s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) </m:t>
                </m:r>
              </m:num>
              <m:den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3</m:t>
                </m:r>
              </m:den>
            </m:f>
          </m:e>
        </m:box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  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 = </w:t>
      </w:r>
      <w:r w:rsidR="00771E38">
        <w:rPr>
          <w:rFonts w:ascii="Times New Roman" w:eastAsia="Batang" w:hAnsi="Times New Roman" w:cs="Times New Roman"/>
          <w:sz w:val="26"/>
          <w:szCs w:val="26"/>
          <w:lang w:eastAsia="ko-KR"/>
        </w:rPr>
        <w:t>(1+0,98+1) / 3 = 0,99</w:t>
      </w:r>
      <w:r w:rsidR="00DA14C4"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DA14C4" w:rsidRDefault="00DA14C4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DA14C4" w:rsidRDefault="00DA14C4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Эффективность реализации муниципал</w:t>
      </w:r>
      <w:r w:rsidR="00771E38">
        <w:rPr>
          <w:rFonts w:ascii="Times New Roman" w:eastAsia="Batang" w:hAnsi="Times New Roman" w:cs="Times New Roman"/>
          <w:sz w:val="26"/>
          <w:szCs w:val="26"/>
          <w:lang w:eastAsia="ko-KR"/>
        </w:rPr>
        <w:t>ьной программы со значением 0,99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признается высокой.</w:t>
      </w:r>
    </w:p>
    <w:p w:rsidR="00DC4561" w:rsidRDefault="00DA14C4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Вывод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: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запланированные  на 2021 год результаты реализации Программы выполнены в полном объеме.</w:t>
      </w:r>
    </w:p>
    <w:p w:rsidR="00DA14C4" w:rsidRDefault="00DA14C4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14C4" w:rsidRPr="00DA14C4" w:rsidRDefault="00DA14C4" w:rsidP="00DA1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DA14C4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Анализ факторов, повлиявших на ход реализации Программы.</w:t>
      </w:r>
    </w:p>
    <w:p w:rsidR="00DC4561" w:rsidRPr="00DA14C4" w:rsidRDefault="00DC4561" w:rsidP="00DC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DC4561" w:rsidRDefault="00DA14C4" w:rsidP="00906EB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показал, что факторов повлиявших на ход реализации Программы не выявлено.</w:t>
      </w:r>
    </w:p>
    <w:p w:rsidR="00010234" w:rsidRPr="00010234" w:rsidRDefault="00010234" w:rsidP="000102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C2243" w:rsidRPr="00AC2243" w:rsidRDefault="00AC2243" w:rsidP="00AC22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sectPr w:rsidR="00AC2243" w:rsidRPr="00AC2243" w:rsidSect="00AC22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0A0"/>
    <w:multiLevelType w:val="hybridMultilevel"/>
    <w:tmpl w:val="D81A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0621"/>
    <w:multiLevelType w:val="hybridMultilevel"/>
    <w:tmpl w:val="EBFCBEC2"/>
    <w:lvl w:ilvl="0" w:tplc="CEFC174A">
      <w:start w:val="1"/>
      <w:numFmt w:val="decimal"/>
      <w:lvlText w:val="%1.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F370ADC"/>
    <w:multiLevelType w:val="hybridMultilevel"/>
    <w:tmpl w:val="2364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EB"/>
    <w:rsid w:val="00010234"/>
    <w:rsid w:val="0007707C"/>
    <w:rsid w:val="00111098"/>
    <w:rsid w:val="0021075B"/>
    <w:rsid w:val="002766C7"/>
    <w:rsid w:val="002B1479"/>
    <w:rsid w:val="002F4935"/>
    <w:rsid w:val="00337AD3"/>
    <w:rsid w:val="003C65F8"/>
    <w:rsid w:val="003E4536"/>
    <w:rsid w:val="00460D4A"/>
    <w:rsid w:val="0055122A"/>
    <w:rsid w:val="00771E38"/>
    <w:rsid w:val="0087541F"/>
    <w:rsid w:val="008B20AE"/>
    <w:rsid w:val="00900593"/>
    <w:rsid w:val="00906EBD"/>
    <w:rsid w:val="009517E6"/>
    <w:rsid w:val="00982656"/>
    <w:rsid w:val="009A1598"/>
    <w:rsid w:val="00AC2243"/>
    <w:rsid w:val="00BD1192"/>
    <w:rsid w:val="00C03414"/>
    <w:rsid w:val="00C06B43"/>
    <w:rsid w:val="00C72ECB"/>
    <w:rsid w:val="00D91B8B"/>
    <w:rsid w:val="00D972E5"/>
    <w:rsid w:val="00DA14C4"/>
    <w:rsid w:val="00DC4561"/>
    <w:rsid w:val="00DC5E54"/>
    <w:rsid w:val="00E05A23"/>
    <w:rsid w:val="00E42834"/>
    <w:rsid w:val="00E6099A"/>
    <w:rsid w:val="00F06DEB"/>
    <w:rsid w:val="00F9692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DAF6-0CD8-43F8-B266-26A8C90A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2022-02-22T00:30:00Z</dcterms:created>
  <dcterms:modified xsi:type="dcterms:W3CDTF">2022-03-16T23:59:00Z</dcterms:modified>
</cp:coreProperties>
</file>