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D77992" w:rsidRDefault="00213D71" w:rsidP="00D77992">
            <w:pPr>
              <w:spacing w:after="0" w:line="240" w:lineRule="auto"/>
              <w:jc w:val="both"/>
              <w:rPr>
                <w:rFonts w:ascii="Times New Roman" w:hAnsi="Times New Roman"/>
                <w:sz w:val="26"/>
                <w:szCs w:val="26"/>
              </w:rPr>
            </w:pPr>
            <w:r>
              <w:rPr>
                <w:rFonts w:ascii="Times New Roman" w:hAnsi="Times New Roman"/>
                <w:sz w:val="26"/>
                <w:szCs w:val="26"/>
              </w:rPr>
              <w:br w:type="page"/>
            </w:r>
            <w:r w:rsidR="00D77992" w:rsidRPr="008E7A72">
              <w:rPr>
                <w:rFonts w:ascii="Times New Roman" w:hAnsi="Times New Roman"/>
                <w:sz w:val="26"/>
                <w:szCs w:val="26"/>
              </w:rPr>
              <w:t xml:space="preserve"> ФОРМА</w:t>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706496" w:rsidP="00706496">
            <w:pPr>
              <w:tabs>
                <w:tab w:val="left" w:pos="1532"/>
              </w:tabs>
              <w:spacing w:after="0" w:line="240" w:lineRule="auto"/>
              <w:jc w:val="both"/>
              <w:rPr>
                <w:rFonts w:ascii="Times New Roman" w:hAnsi="Times New Roman"/>
                <w:sz w:val="26"/>
                <w:szCs w:val="26"/>
              </w:rPr>
            </w:pPr>
            <w:r>
              <w:rPr>
                <w:rFonts w:ascii="Times New Roman" w:hAnsi="Times New Roman"/>
                <w:sz w:val="26"/>
                <w:szCs w:val="26"/>
              </w:rPr>
              <w:tab/>
            </w: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213D71" w:rsidRPr="000F67D9" w:rsidRDefault="00213D71" w:rsidP="00D77992">
            <w:pPr>
              <w:spacing w:after="0" w:line="240" w:lineRule="auto"/>
              <w:jc w:val="both"/>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proofErr w:type="gramStart"/>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w:t>
            </w:r>
            <w:r w:rsidR="00E26403">
              <w:t xml:space="preserve"> </w:t>
            </w:r>
            <w:r w:rsidR="00E26403" w:rsidRPr="00E26403">
              <w:rPr>
                <w:rFonts w:ascii="Times New Roman" w:hAnsi="Times New Roman"/>
                <w:sz w:val="26"/>
                <w:szCs w:val="26"/>
              </w:rPr>
              <w:t>связанных с уплатой лизинговых платежей по договорам финансовой аренды (лизинга)</w:t>
            </w:r>
            <w:r w:rsidRPr="00040E50">
              <w:rPr>
                <w:rFonts w:ascii="Times New Roman" w:hAnsi="Times New Roman"/>
                <w:sz w:val="26"/>
                <w:szCs w:val="26"/>
              </w:rPr>
              <w:t xml:space="preserve">,  утвержденному          постановлением администрации Находкинского городского округа </w:t>
            </w:r>
            <w:proofErr w:type="gramEnd"/>
          </w:p>
          <w:p w:rsidR="00C43E0F" w:rsidRDefault="00DE47B6" w:rsidP="00DE47B6">
            <w:pPr>
              <w:spacing w:after="0" w:line="240" w:lineRule="auto"/>
              <w:ind w:left="34" w:right="175"/>
              <w:jc w:val="center"/>
              <w:rPr>
                <w:rFonts w:ascii="Times New Roman" w:hAnsi="Times New Roman"/>
                <w:sz w:val="26"/>
                <w:szCs w:val="26"/>
              </w:rPr>
            </w:pPr>
            <w:r w:rsidRPr="00DE47B6">
              <w:rPr>
                <w:rFonts w:ascii="Times New Roman" w:hAnsi="Times New Roman"/>
                <w:sz w:val="26"/>
                <w:szCs w:val="26"/>
              </w:rPr>
              <w:t>от 18 сентября 2024 года № 2152</w:t>
            </w:r>
            <w:bookmarkStart w:id="0" w:name="_GoBack"/>
            <w:bookmarkEnd w:id="0"/>
          </w:p>
          <w:p w:rsidR="00D77992" w:rsidRPr="00040E50" w:rsidRDefault="00D77992" w:rsidP="00040E50">
            <w:pPr>
              <w:spacing w:after="0" w:line="240" w:lineRule="auto"/>
              <w:ind w:left="34" w:right="175"/>
              <w:jc w:val="both"/>
              <w:rPr>
                <w:rFonts w:ascii="Times New Roman" w:hAnsi="Times New Roman"/>
                <w:sz w:val="26"/>
                <w:szCs w:val="26"/>
              </w:rPr>
            </w:pP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Pr="00040E50">
        <w:rPr>
          <w:rFonts w:ascii="Times New Roman" w:eastAsia="Times New Roman" w:hAnsi="Times New Roman"/>
          <w:color w:val="212121"/>
          <w:sz w:val="26"/>
          <w:szCs w:val="26"/>
          <w:lang w:eastAsia="ru-RU"/>
        </w:rPr>
        <w:t>(далее - Порядок):</w:t>
      </w:r>
    </w:p>
    <w:p w:rsidR="00040E50" w:rsidRPr="00BA3643" w:rsidRDefault="0095130E"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961537"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A3643">
        <w:rPr>
          <w:rFonts w:ascii="Times New Roman" w:eastAsia="Tahoma" w:hAnsi="Times New Roman"/>
          <w:kern w:val="2"/>
          <w:sz w:val="26"/>
          <w:szCs w:val="26"/>
          <w:lang w:eastAsia="zh-CN" w:bidi="hi-IN"/>
        </w:rPr>
        <w:t>Деятельность</w:t>
      </w:r>
      <w:proofErr w:type="gramEnd"/>
      <w:r w:rsidRPr="00BA3643">
        <w:rPr>
          <w:rFonts w:ascii="Times New Roman" w:eastAsia="Tahoma" w:hAnsi="Times New Roman"/>
          <w:kern w:val="2"/>
          <w:sz w:val="26"/>
          <w:szCs w:val="26"/>
          <w:lang w:eastAsia="zh-CN" w:bidi="hi-IN"/>
        </w:rPr>
        <w:t xml:space="preserve"> специализированная в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2</w:t>
      </w:r>
    </w:p>
    <w:p w:rsidR="00866749" w:rsidRPr="00BA3643" w:rsidRDefault="00866749" w:rsidP="00961537">
      <w:pPr>
        <w:suppressAutoHyphens/>
        <w:spacing w:after="0" w:line="360" w:lineRule="auto"/>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области дизайна", 74.2 "Деятельность в области фотографии", 75 "Деятельность 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w:t>
      </w:r>
      <w:proofErr w:type="gramEnd"/>
      <w:r w:rsidRPr="00BA3643">
        <w:rPr>
          <w:rFonts w:ascii="Times New Roman" w:eastAsia="Tahoma" w:hAnsi="Times New Roman"/>
          <w:kern w:val="2"/>
          <w:sz w:val="26"/>
          <w:szCs w:val="26"/>
          <w:lang w:eastAsia="zh-CN" w:bidi="hi-IN"/>
        </w:rPr>
        <w:t>" раздела R Общероссийского классификатора видов экономической деятельности (ОК 029 - 2014 (КДЕС</w:t>
      </w:r>
      <w:proofErr w:type="gramStart"/>
      <w:r w:rsidRPr="00BA3643">
        <w:rPr>
          <w:rFonts w:ascii="Times New Roman" w:eastAsia="Tahoma" w:hAnsi="Times New Roman"/>
          <w:kern w:val="2"/>
          <w:sz w:val="26"/>
          <w:szCs w:val="26"/>
          <w:lang w:eastAsia="zh-CN" w:bidi="hi-IN"/>
        </w:rPr>
        <w:t xml:space="preserve"> Р</w:t>
      </w:r>
      <w:proofErr w:type="gramEnd"/>
      <w:r w:rsidRPr="00BA3643">
        <w:rPr>
          <w:rFonts w:ascii="Times New Roman" w:eastAsia="Tahoma" w:hAnsi="Times New Roman"/>
          <w:kern w:val="2"/>
          <w:sz w:val="26"/>
          <w:szCs w:val="26"/>
          <w:lang w:eastAsia="zh-CN" w:bidi="hi-IN"/>
        </w:rPr>
        <w:t>ед. 2);</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961537"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 является иностранным юридическим лицом, в том числе местом регистрации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которого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является</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государство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или</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территория,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включенные</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w:t>
      </w:r>
      <w:proofErr w:type="gramStart"/>
      <w:r w:rsidR="00866749" w:rsidRPr="00BA3643">
        <w:rPr>
          <w:rFonts w:ascii="Times New Roman" w:eastAsia="Tahoma" w:hAnsi="Times New Roman"/>
          <w:kern w:val="2"/>
          <w:sz w:val="26"/>
          <w:szCs w:val="26"/>
          <w:lang w:eastAsia="zh-CN" w:bidi="hi-IN"/>
        </w:rPr>
        <w:t>в</w:t>
      </w:r>
      <w:proofErr w:type="gramEnd"/>
      <w:r w:rsidR="00866749" w:rsidRPr="00BA3643">
        <w:rPr>
          <w:rFonts w:ascii="Times New Roman" w:eastAsia="Tahoma" w:hAnsi="Times New Roman"/>
          <w:kern w:val="2"/>
          <w:sz w:val="26"/>
          <w:szCs w:val="26"/>
          <w:lang w:eastAsia="zh-CN" w:bidi="hi-IN"/>
        </w:rPr>
        <w:t xml:space="preserve">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3</w:t>
      </w:r>
    </w:p>
    <w:p w:rsidR="00866749" w:rsidRPr="00040E50" w:rsidRDefault="00866749" w:rsidP="00961537">
      <w:pPr>
        <w:suppressAutoHyphens/>
        <w:spacing w:after="0" w:line="360" w:lineRule="auto"/>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roofErr w:type="gramEnd"/>
      <w:r w:rsidRPr="00BA3643">
        <w:rPr>
          <w:rFonts w:ascii="Times New Roman" w:eastAsia="Tahoma" w:hAnsi="Times New Roman"/>
          <w:kern w:val="2"/>
          <w:sz w:val="26"/>
          <w:szCs w:val="26"/>
          <w:lang w:eastAsia="zh-CN" w:bidi="hi-IN"/>
        </w:rPr>
        <w:t xml:space="preserve"> </w:t>
      </w:r>
      <w:proofErr w:type="gramStart"/>
      <w:r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961537"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 является в порядке, установленном законодательством Российской Федерации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о</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валютном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регулировании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валютном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контроле,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нерезидентом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4</w:t>
      </w:r>
    </w:p>
    <w:p w:rsidR="00866749" w:rsidRPr="00BA3643" w:rsidRDefault="00866749" w:rsidP="00961537">
      <w:pPr>
        <w:suppressAutoHyphens/>
        <w:spacing w:after="0" w:line="360" w:lineRule="auto"/>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r w:rsidRPr="00BA3643">
        <w:rPr>
          <w:rFonts w:ascii="Times New Roman" w:eastAsia="Tahoma" w:hAnsi="Times New Roman"/>
          <w:bCs/>
          <w:kern w:val="2"/>
          <w:sz w:val="26"/>
          <w:szCs w:val="26"/>
          <w:lang w:eastAsia="zh-CN" w:bidi="hi-IN"/>
        </w:rPr>
        <w:t xml:space="preserve">- </w:t>
      </w:r>
      <w:proofErr w:type="gramStart"/>
      <w:r w:rsidRPr="00BA3643">
        <w:rPr>
          <w:rFonts w:ascii="Times New Roman" w:eastAsia="Tahoma" w:hAnsi="Times New Roman"/>
          <w:bCs/>
          <w:kern w:val="2"/>
          <w:sz w:val="26"/>
          <w:szCs w:val="26"/>
          <w:lang w:eastAsia="zh-CN" w:bidi="hi-IN"/>
        </w:rPr>
        <w:t>согласен</w:t>
      </w:r>
      <w:proofErr w:type="gramEnd"/>
      <w:r w:rsidRPr="00BA3643">
        <w:rPr>
          <w:rFonts w:ascii="Times New Roman" w:eastAsia="Tahoma" w:hAnsi="Times New Roman"/>
          <w:bCs/>
          <w:kern w:val="2"/>
          <w:sz w:val="26"/>
          <w:szCs w:val="26"/>
          <w:lang w:eastAsia="zh-CN" w:bidi="hi-IN"/>
        </w:rPr>
        <w:t xml:space="preserve"> на осуществление проверок Главным распорядителем условий и порядка предоставления субсидии, 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78143D">
        <w:rPr>
          <w:rFonts w:ascii="Times New Roman" w:eastAsia="Tahoma" w:hAnsi="Times New Roman"/>
          <w:bCs/>
          <w:kern w:val="2"/>
          <w:sz w:val="26"/>
          <w:szCs w:val="26"/>
          <w:lang w:eastAsia="zh-CN" w:bidi="hi-IN"/>
        </w:rPr>
        <w:t>.</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p w:rsidR="00827F9C" w:rsidRDefault="00827F9C" w:rsidP="00213D71">
      <w:pPr>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D77992" w:rsidRDefault="00D77992" w:rsidP="009E6B44">
            <w:pPr>
              <w:spacing w:after="0" w:line="240" w:lineRule="auto"/>
              <w:jc w:val="both"/>
              <w:rPr>
                <w:rFonts w:ascii="Times New Roman" w:hAnsi="Times New Roman"/>
                <w:sz w:val="26"/>
                <w:szCs w:val="26"/>
              </w:rPr>
            </w:pPr>
            <w:r>
              <w:rPr>
                <w:rFonts w:ascii="Times New Roman" w:hAnsi="Times New Roman"/>
                <w:sz w:val="26"/>
                <w:szCs w:val="26"/>
              </w:rPr>
              <w:t>М.П.</w:t>
            </w:r>
          </w:p>
          <w:p w:rsidR="00D77992" w:rsidRDefault="00D77992" w:rsidP="009E6B44">
            <w:pPr>
              <w:spacing w:after="0" w:line="240" w:lineRule="auto"/>
              <w:jc w:val="both"/>
              <w:rPr>
                <w:rFonts w:ascii="Times New Roman" w:hAnsi="Times New Roman"/>
                <w:sz w:val="26"/>
                <w:szCs w:val="26"/>
              </w:rPr>
            </w:pP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w:t>
            </w:r>
            <w:r w:rsidR="00D77992">
              <w:rPr>
                <w:rFonts w:ascii="Times New Roman" w:hAnsi="Times New Roman"/>
                <w:sz w:val="26"/>
                <w:szCs w:val="26"/>
              </w:rPr>
              <w:t>__</w:t>
            </w:r>
            <w:r w:rsidRPr="008E7A72">
              <w:rPr>
                <w:rFonts w:ascii="Times New Roman" w:hAnsi="Times New Roman"/>
                <w:sz w:val="26"/>
                <w:szCs w:val="26"/>
              </w:rPr>
              <w:t>__» ___________ 20__ г.</w:t>
            </w:r>
          </w:p>
        </w:tc>
      </w:tr>
    </w:tbl>
    <w:p w:rsidR="00BC2636" w:rsidRDefault="00213D71">
      <w:r>
        <w:rPr>
          <w:rFonts w:ascii="Times New Roman" w:hAnsi="Times New Roman"/>
          <w:sz w:val="26"/>
          <w:szCs w:val="26"/>
        </w:rPr>
        <w:tab/>
      </w:r>
    </w:p>
    <w:sectPr w:rsidR="00BC2636" w:rsidSect="00040E50">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37" w:rsidRDefault="00961537" w:rsidP="00961537">
      <w:pPr>
        <w:spacing w:after="0" w:line="240" w:lineRule="auto"/>
      </w:pPr>
      <w:r>
        <w:separator/>
      </w:r>
    </w:p>
  </w:endnote>
  <w:endnote w:type="continuationSeparator" w:id="0">
    <w:p w:rsidR="00961537" w:rsidRDefault="00961537" w:rsidP="0096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37" w:rsidRDefault="00961537" w:rsidP="00961537">
      <w:pPr>
        <w:spacing w:after="0" w:line="240" w:lineRule="auto"/>
      </w:pPr>
      <w:r>
        <w:separator/>
      </w:r>
    </w:p>
  </w:footnote>
  <w:footnote w:type="continuationSeparator" w:id="0">
    <w:p w:rsidR="00961537" w:rsidRDefault="00961537" w:rsidP="00961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213D71"/>
    <w:rsid w:val="003E0C13"/>
    <w:rsid w:val="00526ECC"/>
    <w:rsid w:val="005E4E78"/>
    <w:rsid w:val="00651FD3"/>
    <w:rsid w:val="00706496"/>
    <w:rsid w:val="007302DC"/>
    <w:rsid w:val="0074013A"/>
    <w:rsid w:val="0078143D"/>
    <w:rsid w:val="007C6A96"/>
    <w:rsid w:val="00827F9C"/>
    <w:rsid w:val="0084458D"/>
    <w:rsid w:val="00866749"/>
    <w:rsid w:val="0095130E"/>
    <w:rsid w:val="00961537"/>
    <w:rsid w:val="00AF2AC8"/>
    <w:rsid w:val="00B42C6F"/>
    <w:rsid w:val="00BA3643"/>
    <w:rsid w:val="00BC2636"/>
    <w:rsid w:val="00C43E0F"/>
    <w:rsid w:val="00D2402F"/>
    <w:rsid w:val="00D77992"/>
    <w:rsid w:val="00DC52AB"/>
    <w:rsid w:val="00DE47B6"/>
    <w:rsid w:val="00E26403"/>
    <w:rsid w:val="00F30F77"/>
    <w:rsid w:val="00F8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537"/>
    <w:rPr>
      <w:rFonts w:ascii="Calibri" w:eastAsia="Calibri" w:hAnsi="Calibri" w:cs="Times New Roman"/>
      <w:sz w:val="22"/>
    </w:rPr>
  </w:style>
  <w:style w:type="paragraph" w:styleId="a6">
    <w:name w:val="footer"/>
    <w:basedOn w:val="a"/>
    <w:link w:val="a7"/>
    <w:uiPriority w:val="99"/>
    <w:unhideWhenUsed/>
    <w:rsid w:val="0096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53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537"/>
    <w:rPr>
      <w:rFonts w:ascii="Calibri" w:eastAsia="Calibri" w:hAnsi="Calibri" w:cs="Times New Roman"/>
      <w:sz w:val="22"/>
    </w:rPr>
  </w:style>
  <w:style w:type="paragraph" w:styleId="a6">
    <w:name w:val="footer"/>
    <w:basedOn w:val="a"/>
    <w:link w:val="a7"/>
    <w:uiPriority w:val="99"/>
    <w:unhideWhenUsed/>
    <w:rsid w:val="0096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53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4</cp:revision>
  <dcterms:created xsi:type="dcterms:W3CDTF">2024-09-16T22:53:00Z</dcterms:created>
  <dcterms:modified xsi:type="dcterms:W3CDTF">2024-09-23T23:35:00Z</dcterms:modified>
</cp:coreProperties>
</file>