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>В период с</w:t>
      </w:r>
      <w:r w:rsidR="006D726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="00015BE4">
        <w:rPr>
          <w:rFonts w:ascii="Franklin Gothic Book" w:hAnsi="Franklin Gothic Book" w:cs="Arial"/>
          <w:b/>
          <w:spacing w:val="-2"/>
          <w:kern w:val="22"/>
        </w:rPr>
        <w:t>5</w:t>
      </w:r>
      <w:r w:rsidR="005E3F7F">
        <w:rPr>
          <w:rFonts w:ascii="Franklin Gothic Book" w:hAnsi="Franklin Gothic Book" w:cs="Arial"/>
          <w:b/>
          <w:spacing w:val="-2"/>
          <w:kern w:val="22"/>
        </w:rPr>
        <w:t xml:space="preserve"> по 11</w:t>
      </w:r>
      <w:r w:rsidR="00F0232C">
        <w:rPr>
          <w:rFonts w:ascii="Franklin Gothic Book" w:hAnsi="Franklin Gothic Book" w:cs="Arial"/>
          <w:b/>
          <w:spacing w:val="-2"/>
          <w:kern w:val="22"/>
        </w:rPr>
        <w:t xml:space="preserve"> сентября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5E3F7F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12</w:t>
      </w:r>
      <w:r w:rsidR="00F0232C">
        <w:rPr>
          <w:rFonts w:ascii="Franklin Gothic Book" w:hAnsi="Franklin Gothic Book" w:cs="Arial"/>
          <w:spacing w:val="-2"/>
          <w:kern w:val="22"/>
        </w:rPr>
        <w:t xml:space="preserve"> сентября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5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Pr="0016226E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015BE4">
        <w:rPr>
          <w:rFonts w:ascii="Franklin Gothic Book" w:hAnsi="Franklin Gothic Book" w:cs="Arial"/>
          <w:spacing w:val="-2"/>
          <w:kern w:val="22"/>
        </w:rPr>
        <w:t xml:space="preserve"> 5 </w:t>
      </w:r>
      <w:r w:rsidR="005E3F7F">
        <w:rPr>
          <w:rFonts w:ascii="Franklin Gothic Book" w:hAnsi="Franklin Gothic Book" w:cs="Arial"/>
          <w:spacing w:val="-2"/>
          <w:kern w:val="22"/>
        </w:rPr>
        <w:t>по 11</w:t>
      </w:r>
      <w:r w:rsidR="00F0232C">
        <w:rPr>
          <w:rFonts w:ascii="Franklin Gothic Book" w:hAnsi="Franklin Gothic Book" w:cs="Arial"/>
          <w:spacing w:val="-2"/>
          <w:kern w:val="22"/>
        </w:rPr>
        <w:t xml:space="preserve"> сентября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015BE4">
        <w:rPr>
          <w:rFonts w:ascii="Franklin Gothic Book" w:hAnsi="Franklin Gothic Book" w:cs="Arial"/>
          <w:noProof/>
          <w:spacing w:val="-2"/>
          <w:kern w:val="22"/>
        </w:rPr>
        <w:t>019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015BE4">
        <w:rPr>
          <w:rFonts w:ascii="Franklin Gothic Book" w:hAnsi="Franklin Gothic Book" w:cs="Arial"/>
          <w:noProof/>
          <w:spacing w:val="-2"/>
          <w:kern w:val="22"/>
        </w:rPr>
        <w:t>105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</w:t>
      </w:r>
      <w:bookmarkStart w:id="0" w:name="_GoBack"/>
      <w:bookmarkEnd w:id="0"/>
      <w:r w:rsidRPr="004473A9">
        <w:rPr>
          <w:rFonts w:ascii="Franklin Gothic Book" w:hAnsi="Franklin Gothic Book" w:cs="Arial"/>
          <w:spacing w:val="-2"/>
          <w:kern w:val="22"/>
        </w:rPr>
        <w:t>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109AF"/>
    <w:rsid w:val="00012696"/>
    <w:rsid w:val="00015BE4"/>
    <w:rsid w:val="00023FAA"/>
    <w:rsid w:val="000327B3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7CE3"/>
    <w:rsid w:val="001A0EA8"/>
    <w:rsid w:val="001A3C7A"/>
    <w:rsid w:val="001A43B0"/>
    <w:rsid w:val="001A4C1C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63A1"/>
    <w:rsid w:val="005C2A55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0929"/>
    <w:rsid w:val="009B258A"/>
    <w:rsid w:val="009B55ED"/>
    <w:rsid w:val="009C07AA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729A"/>
    <w:rsid w:val="00A80221"/>
    <w:rsid w:val="00A828B0"/>
    <w:rsid w:val="00A831DC"/>
    <w:rsid w:val="00A8628A"/>
    <w:rsid w:val="00A92462"/>
    <w:rsid w:val="00A932D1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76136"/>
    <w:rsid w:val="00D81638"/>
    <w:rsid w:val="00D9044D"/>
    <w:rsid w:val="00D90DC7"/>
    <w:rsid w:val="00D92611"/>
    <w:rsid w:val="00DA5759"/>
    <w:rsid w:val="00DA7A03"/>
    <w:rsid w:val="00DA7E1F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BECAB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4251B3-F2FA-4516-9CDC-48273656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221</cp:revision>
  <cp:lastPrinted>2018-04-13T03:42:00Z</cp:lastPrinted>
  <dcterms:created xsi:type="dcterms:W3CDTF">2024-03-14T22:57:00Z</dcterms:created>
  <dcterms:modified xsi:type="dcterms:W3CDTF">2025-09-12T04:35:00Z</dcterms:modified>
</cp:coreProperties>
</file>