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Находкинского городского округа от 12.04.2019 N 619</w:t>
              <w:br/>
              <w:t xml:space="preserve">(ред. от 23.05.2024)</w:t>
              <w:br/>
              <w:t xml:space="preserve">"Об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НАХОДКИНСКОГО ГОРОДСКОГО ОКРУГА</w:t>
      </w:r>
    </w:p>
    <w:p>
      <w:pPr>
        <w:pStyle w:val="2"/>
        <w:jc w:val="center"/>
      </w:pPr>
      <w:r>
        <w:rPr>
          <w:sz w:val="20"/>
        </w:rPr>
        <w:t xml:space="preserve">ПРИМОРСКОГО КРАЯ</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12 апреля 2019 г. N 619</w:t>
      </w:r>
    </w:p>
    <w:p>
      <w:pPr>
        <w:pStyle w:val="2"/>
        <w:jc w:val="both"/>
      </w:pPr>
      <w:r>
        <w:rPr>
          <w:sz w:val="20"/>
        </w:rPr>
      </w:r>
    </w:p>
    <w:p>
      <w:pPr>
        <w:pStyle w:val="2"/>
        <w:jc w:val="center"/>
      </w:pPr>
      <w:r>
        <w:rPr>
          <w:sz w:val="20"/>
        </w:rPr>
        <w:t xml:space="preserve">ОБ УТВЕРЖДЕНИИ ПОРЯДКА, УСЛОВИЙ И СРОКА</w:t>
      </w:r>
    </w:p>
    <w:p>
      <w:pPr>
        <w:pStyle w:val="2"/>
        <w:jc w:val="center"/>
      </w:pPr>
      <w:r>
        <w:rPr>
          <w:sz w:val="20"/>
        </w:rPr>
        <w:t xml:space="preserve">ВНЕСЕНИЯ ПЛАТЫ ЗА ПРАВО ВКЛЮЧЕНИЯ ХОЗЯЙСТВУЮЩЕГО</w:t>
      </w:r>
    </w:p>
    <w:p>
      <w:pPr>
        <w:pStyle w:val="2"/>
        <w:jc w:val="center"/>
      </w:pPr>
      <w:r>
        <w:rPr>
          <w:sz w:val="20"/>
        </w:rPr>
        <w:t xml:space="preserve">СУБЪЕКТА В СХЕМУ РАЗМЕЩЕНИЯ НЕСТАЦИОНАРНЫХ ТОРГОВЫХ</w:t>
      </w:r>
    </w:p>
    <w:p>
      <w:pPr>
        <w:pStyle w:val="2"/>
        <w:jc w:val="center"/>
      </w:pPr>
      <w:r>
        <w:rPr>
          <w:sz w:val="20"/>
        </w:rPr>
        <w:t xml:space="preserve">ОБЪЕКТОВ НА ТЕРРИТОРИИ НАХОДКИНСКОГО ГОРОДСКОГО ОКРУГА,</w:t>
      </w:r>
    </w:p>
    <w:p>
      <w:pPr>
        <w:pStyle w:val="2"/>
        <w:jc w:val="center"/>
      </w:pPr>
      <w:r>
        <w:rPr>
          <w:sz w:val="20"/>
        </w:rPr>
        <w:t xml:space="preserve">ПЛАТЫ ЗА РАЗМЕЩЕНИЕ НЕСТАЦИОНАРНЫХ ТОРГОВЫХ ОБЪЕКТОВ</w:t>
      </w:r>
    </w:p>
    <w:p>
      <w:pPr>
        <w:pStyle w:val="2"/>
        <w:jc w:val="center"/>
      </w:pPr>
      <w:r>
        <w:rPr>
          <w:sz w:val="20"/>
        </w:rPr>
        <w:t xml:space="preserve">НА ТЕРРИТОРИИ НАХОДКИНСКОГО ГОРОДСКОГО ОКРУГА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w:t>
            </w:r>
          </w:p>
          <w:p>
            <w:pPr>
              <w:pStyle w:val="0"/>
              <w:jc w:val="center"/>
            </w:pPr>
            <w:r>
              <w:rPr>
                <w:sz w:val="20"/>
                <w:color w:val="392c69"/>
              </w:rPr>
              <w:t xml:space="preserve">Находкинского городского округа</w:t>
            </w:r>
          </w:p>
          <w:p>
            <w:pPr>
              <w:pStyle w:val="0"/>
              <w:jc w:val="center"/>
            </w:pPr>
            <w:r>
              <w:rPr>
                <w:sz w:val="20"/>
                <w:color w:val="392c69"/>
              </w:rPr>
              <w:t xml:space="preserve">от 28.04.2020 </w:t>
            </w:r>
            <w:hyperlink w:history="0" r:id="rId7" w:tooltip="Постановление администрации Находкинского городского округа от 28.04.2020 N 589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N 589</w:t>
              </w:r>
            </w:hyperlink>
            <w:r>
              <w:rPr>
                <w:sz w:val="20"/>
                <w:color w:val="392c69"/>
              </w:rPr>
              <w:t xml:space="preserve">, от 08.04.2021 </w:t>
            </w:r>
            <w:hyperlink w:history="0" r:id="rId8" w:tooltip="Постановление администрации Находкинского городского округа от 08.04.2021 N 388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N 388</w:t>
              </w:r>
            </w:hyperlink>
            <w:r>
              <w:rPr>
                <w:sz w:val="20"/>
                <w:color w:val="392c69"/>
              </w:rPr>
              <w:t xml:space="preserve">,</w:t>
            </w:r>
          </w:p>
          <w:p>
            <w:pPr>
              <w:pStyle w:val="0"/>
              <w:jc w:val="center"/>
            </w:pPr>
            <w:r>
              <w:rPr>
                <w:sz w:val="20"/>
                <w:color w:val="392c69"/>
              </w:rPr>
              <w:t xml:space="preserve">от 19.05.2021 </w:t>
            </w:r>
            <w:hyperlink w:history="0" r:id="rId9" w:tooltip="Постановление администрации Находкинского городского округа от 19.05.2021 N 560 &quot;О внесении изменения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N 560</w:t>
              </w:r>
            </w:hyperlink>
            <w:r>
              <w:rPr>
                <w:sz w:val="20"/>
                <w:color w:val="392c69"/>
              </w:rPr>
              <w:t xml:space="preserve">, от 27.10.2021 </w:t>
            </w:r>
            <w:hyperlink w:history="0" r:id="rId10" w:tooltip="Постановление администрации Находкинского городского округа от 27.10.2021 N 1097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N 1097</w:t>
              </w:r>
            </w:hyperlink>
            <w:r>
              <w:rPr>
                <w:sz w:val="20"/>
                <w:color w:val="392c69"/>
              </w:rPr>
              <w:t xml:space="preserve">,</w:t>
            </w:r>
          </w:p>
          <w:p>
            <w:pPr>
              <w:pStyle w:val="0"/>
              <w:jc w:val="center"/>
            </w:pPr>
            <w:r>
              <w:rPr>
                <w:sz w:val="20"/>
                <w:color w:val="392c69"/>
              </w:rPr>
              <w:t xml:space="preserve">от 09.09.2022 </w:t>
            </w:r>
            <w:hyperlink w:history="0" r:id="rId11" w:tooltip="Постановление администрации Находкинского городского округа от 09.09.2022 N 1326 &quot;О внесении изменения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N 1326</w:t>
              </w:r>
            </w:hyperlink>
            <w:r>
              <w:rPr>
                <w:sz w:val="20"/>
                <w:color w:val="392c69"/>
              </w:rPr>
              <w:t xml:space="preserve">, от 20.01.2023 </w:t>
            </w:r>
            <w:hyperlink w:history="0" r:id="rId12" w:tooltip="Постановление администрации Находкинского городского округа от 20.01.2023 N 55 &quot;О внесении изменения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N 55</w:t>
              </w:r>
            </w:hyperlink>
            <w:r>
              <w:rPr>
                <w:sz w:val="20"/>
                <w:color w:val="392c69"/>
              </w:rPr>
              <w:t xml:space="preserve">,</w:t>
            </w:r>
          </w:p>
          <w:p>
            <w:pPr>
              <w:pStyle w:val="0"/>
              <w:jc w:val="center"/>
            </w:pPr>
            <w:r>
              <w:rPr>
                <w:sz w:val="20"/>
                <w:color w:val="392c69"/>
              </w:rPr>
              <w:t xml:space="preserve">от 23.05.2024 </w:t>
            </w:r>
            <w:hyperlink w:history="0" r:id="rId13" w:tooltip="Постановление администрации Находкинского городского округа от 23.05.2024 N 1229 &quot;О внесении изменения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N 1229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Руководствуясь Федеральным </w:t>
      </w:r>
      <w:hyperlink w:history="0" r:id="rId1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Федеральным </w:t>
      </w:r>
      <w:hyperlink w:history="0" r:id="rId15" w:tooltip="Федеральный закон от 28.12.2009 N 381-ФЗ (ред. от 26.12.2024) &quot;Об основах государственного регулирования торговой деятельности в Российской Федерации&quot; {КонсультантПлюс}">
        <w:r>
          <w:rPr>
            <w:sz w:val="20"/>
            <w:color w:val="0000ff"/>
          </w:rPr>
          <w:t xml:space="preserve">законом</w:t>
        </w:r>
      </w:hyperlink>
      <w:r>
        <w:rPr>
          <w:sz w:val="20"/>
        </w:rPr>
        <w:t xml:space="preserve"> от 28.12.2009 N 381-ФЗ "Об основах государственного регулирования торговой деятельности в Российской Федерации", </w:t>
      </w:r>
      <w:hyperlink w:history="0" r:id="rId16" w:tooltip="Постановление Администрации Приморского края от 17.04.2018 N 171-па (ред. от 01.04.2024) &quot;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quot; {КонсультантПлюс}">
        <w:r>
          <w:rPr>
            <w:sz w:val="20"/>
            <w:color w:val="0000ff"/>
          </w:rPr>
          <w:t xml:space="preserve">постановлением</w:t>
        </w:r>
      </w:hyperlink>
      <w:r>
        <w:rPr>
          <w:sz w:val="20"/>
        </w:rPr>
        <w:t xml:space="preserve"> Администрации Приморского края от 17.04.2018 N 171-па "Об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 </w:t>
      </w:r>
      <w:hyperlink w:history="0" r:id="rId17" w:tooltip="Приказ департамента лицензирования и торговли Приморского края от 15.12.2015 N 114 (ред. от 18.06.2024) &quot;Об утверждении Порядка разработки и утверждения органами местного самоуправления Приморского края схем размещения нестационарных торговых объектов&quot; (с изм. и доп., вступающими в силу с 03.07.2024) {КонсультантПлюс}">
        <w:r>
          <w:rPr>
            <w:sz w:val="20"/>
            <w:color w:val="0000ff"/>
          </w:rPr>
          <w:t xml:space="preserve">приказом</w:t>
        </w:r>
      </w:hyperlink>
      <w:r>
        <w:rPr>
          <w:sz w:val="20"/>
        </w:rPr>
        <w:t xml:space="preserve"> департамента лицензирования и торговли Приморского края от 15.12.2015 N 114 "Об утверждении Порядка разработки и утверждения органами местного самоуправления Приморского края схем размещения нестационарных торговых объектов", </w:t>
      </w:r>
      <w:hyperlink w:history="0" r:id="rId18" w:tooltip="Устав Находкинского городского округа Приморского края (утв. решением Находкинской городской Думы от 18.05.2005 N 390) (Зарегистрировано в Управлении Минюста РФ по Приморскому краю 20.01.2012 N RU253080002012001) (ред. от 31.07.2024) (с изм. и доп., вступающими в силу с 01.09.2024) {КонсультантПлюс}">
        <w:r>
          <w:rPr>
            <w:sz w:val="20"/>
            <w:color w:val="0000ff"/>
          </w:rPr>
          <w:t xml:space="preserve">Уставом</w:t>
        </w:r>
      </w:hyperlink>
      <w:r>
        <w:rPr>
          <w:sz w:val="20"/>
        </w:rPr>
        <w:t xml:space="preserve"> Находкинского городского округа, администрация Находкинского городского округа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r>
        <w:rPr>
          <w:sz w:val="20"/>
        </w:rPr>
        <w:t xml:space="preserve">1.1. </w:t>
      </w:r>
      <w:hyperlink w:history="0" w:anchor="P46" w:tooltip="ПОРЯДОК, УСЛОВИЯ И СРОКИ">
        <w:r>
          <w:rPr>
            <w:sz w:val="20"/>
            <w:color w:val="0000ff"/>
          </w:rPr>
          <w:t xml:space="preserve">Порядок</w:t>
        </w:r>
      </w:hyperlink>
      <w:r>
        <w:rPr>
          <w:sz w:val="20"/>
        </w:rPr>
        <w:t xml:space="preserve">, условия и сроки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и платы за размещение нестационарного торгового объекта на территории Находкинского городского округа.</w:t>
      </w:r>
    </w:p>
    <w:p>
      <w:pPr>
        <w:pStyle w:val="0"/>
        <w:spacing w:before="200" w:line-rule="auto"/>
        <w:ind w:firstLine="540"/>
        <w:jc w:val="both"/>
      </w:pPr>
      <w:r>
        <w:rPr>
          <w:sz w:val="20"/>
        </w:rPr>
        <w:t xml:space="preserve">1.2. </w:t>
      </w:r>
      <w:hyperlink w:history="0" w:anchor="P98" w:tooltip="МЕТОДИКА">
        <w:r>
          <w:rPr>
            <w:sz w:val="20"/>
            <w:color w:val="0000ff"/>
          </w:rPr>
          <w:t xml:space="preserve">Методику</w:t>
        </w:r>
      </w:hyperlink>
      <w:r>
        <w:rPr>
          <w:sz w:val="20"/>
        </w:rPr>
        <w:t xml:space="preserve"> расчета платы за право включения хозяйствующего субъекта в схему размещения нестационарных торговых объектов на территории Находкинского городского округа.</w:t>
      </w:r>
    </w:p>
    <w:p>
      <w:pPr>
        <w:pStyle w:val="0"/>
        <w:spacing w:before="200" w:line-rule="auto"/>
        <w:ind w:firstLine="540"/>
        <w:jc w:val="both"/>
      </w:pPr>
      <w:r>
        <w:rPr>
          <w:sz w:val="20"/>
        </w:rPr>
        <w:t xml:space="preserve">1.3. </w:t>
      </w:r>
      <w:hyperlink w:history="0" w:anchor="P210" w:tooltip="МЕТОДИКА">
        <w:r>
          <w:rPr>
            <w:sz w:val="20"/>
            <w:color w:val="0000ff"/>
          </w:rPr>
          <w:t xml:space="preserve">Методику</w:t>
        </w:r>
      </w:hyperlink>
      <w:r>
        <w:rPr>
          <w:sz w:val="20"/>
        </w:rPr>
        <w:t xml:space="preserve"> расчета платы за размещение нестационарного торгового объекта на территории Находкинского городского округа.</w:t>
      </w:r>
    </w:p>
    <w:p>
      <w:pPr>
        <w:pStyle w:val="0"/>
        <w:spacing w:before="200" w:line-rule="auto"/>
        <w:ind w:firstLine="540"/>
        <w:jc w:val="both"/>
      </w:pPr>
      <w:r>
        <w:rPr>
          <w:sz w:val="20"/>
        </w:rPr>
        <w:t xml:space="preserve">1.4. </w:t>
      </w:r>
      <w:hyperlink w:history="0" w:anchor="P324" w:tooltip="СОГЛАШЕНИЕ">
        <w:r>
          <w:rPr>
            <w:sz w:val="20"/>
            <w:color w:val="0000ff"/>
          </w:rPr>
          <w:t xml:space="preserve">Форму</w:t>
        </w:r>
      </w:hyperlink>
      <w:r>
        <w:rPr>
          <w:sz w:val="20"/>
        </w:rPr>
        <w:t xml:space="preserve"> соглашения на размещение нестационарного торгового объекта на территории Находкинского городского округа (далее - соглашение на размещение нестационарного торгового объекта на территории Находкинского городского округа).</w:t>
      </w:r>
    </w:p>
    <w:p>
      <w:pPr>
        <w:pStyle w:val="0"/>
        <w:jc w:val="both"/>
      </w:pPr>
      <w:r>
        <w:rPr>
          <w:sz w:val="20"/>
        </w:rPr>
        <w:t xml:space="preserve">(пп. 1.4 введен </w:t>
      </w:r>
      <w:hyperlink w:history="0" r:id="rId19" w:tooltip="Постановление администрации Находкинского городского округа от 28.04.2020 N 589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Постановлением</w:t>
        </w:r>
      </w:hyperlink>
      <w:r>
        <w:rPr>
          <w:sz w:val="20"/>
        </w:rPr>
        <w:t xml:space="preserve"> администрации Находкинского городского округа от 28.04.2020 N 589)</w:t>
      </w:r>
    </w:p>
    <w:p>
      <w:pPr>
        <w:pStyle w:val="0"/>
        <w:spacing w:before="200" w:line-rule="auto"/>
        <w:ind w:firstLine="540"/>
        <w:jc w:val="both"/>
      </w:pPr>
      <w:r>
        <w:rPr>
          <w:sz w:val="20"/>
        </w:rPr>
        <w:t xml:space="preserve">2. Отделу по работе со средствами массовой информации администрации Находкинского городского округа (Шевкин) опубликовать данное постановление в средствах массовой информации.</w:t>
      </w:r>
    </w:p>
    <w:p>
      <w:pPr>
        <w:pStyle w:val="0"/>
        <w:spacing w:before="200" w:line-rule="auto"/>
        <w:ind w:firstLine="540"/>
        <w:jc w:val="both"/>
      </w:pPr>
      <w:r>
        <w:rPr>
          <w:sz w:val="20"/>
        </w:rPr>
        <w:t xml:space="preserve">3. Отделу делопроизводства администрации Находкинского городского округа (Атрашок) разместить данное постановление на официальном сайте администрации Находкинского городского округа в сети Интернет.</w:t>
      </w:r>
    </w:p>
    <w:p>
      <w:pPr>
        <w:pStyle w:val="0"/>
        <w:spacing w:before="200" w:line-rule="auto"/>
        <w:ind w:firstLine="540"/>
        <w:jc w:val="both"/>
      </w:pPr>
      <w:r>
        <w:rPr>
          <w:sz w:val="20"/>
        </w:rPr>
        <w:t xml:space="preserve">4. Контроль за исполнением данного постановления "Об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 возложить на первого заместителя главы администрации Находкинского городского округа Е.И. Воронина.</w:t>
      </w:r>
    </w:p>
    <w:p>
      <w:pPr>
        <w:pStyle w:val="0"/>
        <w:jc w:val="both"/>
      </w:pPr>
      <w:r>
        <w:rPr>
          <w:sz w:val="20"/>
        </w:rPr>
      </w:r>
    </w:p>
    <w:p>
      <w:pPr>
        <w:pStyle w:val="0"/>
        <w:jc w:val="right"/>
      </w:pPr>
      <w:r>
        <w:rPr>
          <w:sz w:val="20"/>
        </w:rPr>
        <w:t xml:space="preserve">И.о. главы Находкинского городского округа</w:t>
      </w:r>
    </w:p>
    <w:p>
      <w:pPr>
        <w:pStyle w:val="0"/>
        <w:jc w:val="right"/>
      </w:pPr>
      <w:r>
        <w:rPr>
          <w:sz w:val="20"/>
        </w:rPr>
        <w:t xml:space="preserve">Е.И.ВОРОНИН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от 12.04.2019 N 619</w:t>
      </w:r>
    </w:p>
    <w:p>
      <w:pPr>
        <w:pStyle w:val="0"/>
        <w:jc w:val="both"/>
      </w:pPr>
      <w:r>
        <w:rPr>
          <w:sz w:val="20"/>
        </w:rPr>
      </w:r>
    </w:p>
    <w:bookmarkStart w:id="46" w:name="P46"/>
    <w:bookmarkEnd w:id="46"/>
    <w:p>
      <w:pPr>
        <w:pStyle w:val="2"/>
        <w:jc w:val="center"/>
      </w:pPr>
      <w:r>
        <w:rPr>
          <w:sz w:val="20"/>
        </w:rPr>
        <w:t xml:space="preserve">ПОРЯДОК, УСЛОВИЯ И СРОКИ</w:t>
      </w:r>
    </w:p>
    <w:p>
      <w:pPr>
        <w:pStyle w:val="2"/>
        <w:jc w:val="center"/>
      </w:pPr>
      <w:r>
        <w:rPr>
          <w:sz w:val="20"/>
        </w:rPr>
        <w:t xml:space="preserve">ВНЕСЕНИЯ ПЛАТЫ ЗА ПРАВО ВКЛЮЧЕНИЯ ХОЗЯЙСТВУЮЩЕГО</w:t>
      </w:r>
    </w:p>
    <w:p>
      <w:pPr>
        <w:pStyle w:val="2"/>
        <w:jc w:val="center"/>
      </w:pPr>
      <w:r>
        <w:rPr>
          <w:sz w:val="20"/>
        </w:rPr>
        <w:t xml:space="preserve">СУБЪЕКТА В СХЕМУ РАЗМЕЩЕНИЯ НЕСТАЦИОНАРНЫХ ТОРГОВЫХ</w:t>
      </w:r>
    </w:p>
    <w:p>
      <w:pPr>
        <w:pStyle w:val="2"/>
        <w:jc w:val="center"/>
      </w:pPr>
      <w:r>
        <w:rPr>
          <w:sz w:val="20"/>
        </w:rPr>
        <w:t xml:space="preserve">ОБЪЕКТОВ НА ТЕРРИТОРИИ НАХОДКИНСКОГО ГОРОДСКОГО ОКРУГА,</w:t>
      </w:r>
    </w:p>
    <w:p>
      <w:pPr>
        <w:pStyle w:val="2"/>
        <w:jc w:val="center"/>
      </w:pPr>
      <w:r>
        <w:rPr>
          <w:sz w:val="20"/>
        </w:rPr>
        <w:t xml:space="preserve">ПЛАТЫ ЗА РАЗМЕЩЕНИЕ НЕСТАЦИОНАРНОГО ТОРГОВОГО ОБЪЕКТА</w:t>
      </w:r>
    </w:p>
    <w:p>
      <w:pPr>
        <w:pStyle w:val="2"/>
        <w:jc w:val="center"/>
      </w:pPr>
      <w:r>
        <w:rPr>
          <w:sz w:val="20"/>
        </w:rPr>
        <w:t xml:space="preserve">НА ТЕРРИТОРИИ НАХОДКИНСКОГО ГОРОДСКОГО ОКРУГА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w:t>
            </w:r>
          </w:p>
          <w:p>
            <w:pPr>
              <w:pStyle w:val="0"/>
              <w:jc w:val="center"/>
            </w:pPr>
            <w:r>
              <w:rPr>
                <w:sz w:val="20"/>
                <w:color w:val="392c69"/>
              </w:rPr>
              <w:t xml:space="preserve">Находкинского городского округа</w:t>
            </w:r>
          </w:p>
          <w:p>
            <w:pPr>
              <w:pStyle w:val="0"/>
              <w:jc w:val="center"/>
            </w:pPr>
            <w:r>
              <w:rPr>
                <w:sz w:val="20"/>
                <w:color w:val="392c69"/>
              </w:rPr>
              <w:t xml:space="preserve">от 28.04.2020 </w:t>
            </w:r>
            <w:hyperlink w:history="0" r:id="rId20" w:tooltip="Постановление администрации Находкинского городского округа от 28.04.2020 N 589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N 589</w:t>
              </w:r>
            </w:hyperlink>
            <w:r>
              <w:rPr>
                <w:sz w:val="20"/>
                <w:color w:val="392c69"/>
              </w:rPr>
              <w:t xml:space="preserve">, от 08.04.2021 </w:t>
            </w:r>
            <w:hyperlink w:history="0" r:id="rId21" w:tooltip="Постановление администрации Находкинского городского округа от 08.04.2021 N 388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N 388</w:t>
              </w:r>
            </w:hyperlink>
            <w:r>
              <w:rPr>
                <w:sz w:val="20"/>
                <w:color w:val="392c69"/>
              </w:rPr>
              <w:t xml:space="preserve">,</w:t>
            </w:r>
          </w:p>
          <w:p>
            <w:pPr>
              <w:pStyle w:val="0"/>
              <w:jc w:val="center"/>
            </w:pPr>
            <w:r>
              <w:rPr>
                <w:sz w:val="20"/>
                <w:color w:val="392c69"/>
              </w:rPr>
              <w:t xml:space="preserve">от 27.10.2021 </w:t>
            </w:r>
            <w:hyperlink w:history="0" r:id="rId22" w:tooltip="Постановление администрации Находкинского городского округа от 27.10.2021 N 1097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N 1097</w:t>
              </w:r>
            </w:hyperlink>
            <w:r>
              <w:rPr>
                <w:sz w:val="20"/>
                <w:color w:val="392c69"/>
              </w:rPr>
              <w:t xml:space="preserve">, от 09.09.2022 </w:t>
            </w:r>
            <w:hyperlink w:history="0" r:id="rId23" w:tooltip="Постановление администрации Находкинского городского округа от 09.09.2022 N 1326 &quot;О внесении изменения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N 1326</w:t>
              </w:r>
            </w:hyperlink>
            <w:r>
              <w:rPr>
                <w:sz w:val="20"/>
                <w:color w:val="392c69"/>
              </w:rPr>
              <w:t xml:space="preserve">,</w:t>
            </w:r>
          </w:p>
          <w:p>
            <w:pPr>
              <w:pStyle w:val="0"/>
              <w:jc w:val="center"/>
            </w:pPr>
            <w:r>
              <w:rPr>
                <w:sz w:val="20"/>
                <w:color w:val="392c69"/>
              </w:rPr>
              <w:t xml:space="preserve">от 23.05.2024 </w:t>
            </w:r>
            <w:hyperlink w:history="0" r:id="rId24" w:tooltip="Постановление администрации Находкинского городского округа от 23.05.2024 N 1229 &quot;О внесении изменения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N 1229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Порядок, условия и сроки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нестационарного торгового объекта на территории Находкинского городского округа (далее - Порядок) разработан в соответствии с </w:t>
      </w:r>
      <w:hyperlink w:history="0" r:id="rId25" w:tooltip="Постановление Администрации Приморского края от 17.04.2018 N 171-па (ред. от 01.04.2024) &quot;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quot; {КонсультантПлюс}">
        <w:r>
          <w:rPr>
            <w:sz w:val="20"/>
            <w:color w:val="0000ff"/>
          </w:rPr>
          <w:t xml:space="preserve">постановлением</w:t>
        </w:r>
      </w:hyperlink>
      <w:r>
        <w:rPr>
          <w:sz w:val="20"/>
        </w:rPr>
        <w:t xml:space="preserve"> Администрации Приморского края от 17.04.2018 N 171-па "Об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 (далее - Порядок отбора претендентов) и регулирует порядок и условия внесения хозяйствующими субъектами платы за право включения в схему размещения нестационарных торговых объектов на территории Находкинского городского округа (далее - Схема), платы за размещение нестационарного торгового объекта (далее - НТО) на территории Находкинского городского округа.</w:t>
      </w:r>
    </w:p>
    <w:p>
      <w:pPr>
        <w:pStyle w:val="0"/>
        <w:spacing w:before="200" w:line-rule="auto"/>
        <w:ind w:firstLine="540"/>
        <w:jc w:val="both"/>
      </w:pPr>
      <w:r>
        <w:rPr>
          <w:sz w:val="20"/>
        </w:rPr>
        <w:t xml:space="preserve">2. Органом администрации Находкинского городского округа, уполномоченным на подготовку проекта решения о включении хозяйствующего субъекта в Схему, является управление потребительского рынка, предпринимательства и развития туризма администрации Находкинского городского округа (далее - управление потребительского рынка). Соглашение с хозяйствующим субъектом на размещение нестационарного торгового объекта на территории Находкинского городского округа (далее - Соглашение), заключает администрация Находкинского городского округа в лице первого заместителя главы администрации Находкинского городского округа, координирующего и контролирующего деятельность управления потребительского рынка.</w:t>
      </w:r>
    </w:p>
    <w:p>
      <w:pPr>
        <w:pStyle w:val="0"/>
        <w:jc w:val="both"/>
      </w:pPr>
      <w:r>
        <w:rPr>
          <w:sz w:val="20"/>
        </w:rPr>
        <w:t xml:space="preserve">(п. 2 в ред. </w:t>
      </w:r>
      <w:hyperlink w:history="0" r:id="rId26" w:tooltip="Постановление администрации Находкинского городского округа от 23.05.2024 N 1229 &quot;О внесении изменения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Постановления</w:t>
        </w:r>
      </w:hyperlink>
      <w:r>
        <w:rPr>
          <w:sz w:val="20"/>
        </w:rPr>
        <w:t xml:space="preserve"> администрации Находкинского городского округа от 23.05.2024 N 1229)</w:t>
      </w:r>
    </w:p>
    <w:p>
      <w:pPr>
        <w:pStyle w:val="0"/>
        <w:spacing w:before="200" w:line-rule="auto"/>
        <w:ind w:firstLine="540"/>
        <w:jc w:val="both"/>
      </w:pPr>
      <w:r>
        <w:rPr>
          <w:sz w:val="20"/>
        </w:rPr>
        <w:t xml:space="preserve">3. Основанием внесения платы за право включения хозяйствующего субъекта в Схему (далее - плата за право включения) является принятие администрацией Находкинского городского округа постановления о внесении изменений в Схему.</w:t>
      </w:r>
    </w:p>
    <w:p>
      <w:pPr>
        <w:pStyle w:val="0"/>
        <w:spacing w:before="200" w:line-rule="auto"/>
        <w:ind w:firstLine="540"/>
        <w:jc w:val="both"/>
      </w:pPr>
      <w:r>
        <w:rPr>
          <w:sz w:val="20"/>
        </w:rPr>
        <w:t xml:space="preserve">4. Решение о включении хозяйствующего субъекта в Схему принимается:</w:t>
      </w:r>
    </w:p>
    <w:p>
      <w:pPr>
        <w:pStyle w:val="0"/>
        <w:spacing w:before="200" w:line-rule="auto"/>
        <w:ind w:firstLine="540"/>
        <w:jc w:val="both"/>
      </w:pPr>
      <w:r>
        <w:rPr>
          <w:sz w:val="20"/>
        </w:rPr>
        <w:t xml:space="preserve">1) без проведения аукциона на право включения в Схему в случае, установленном </w:t>
      </w:r>
      <w:hyperlink w:history="0" r:id="rId27" w:tooltip="Постановление Администрации Приморского края от 17.04.2018 N 171-па (ред. от 01.04.2024) &quot;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quot; {КонсультантПлюс}">
        <w:r>
          <w:rPr>
            <w:sz w:val="20"/>
            <w:color w:val="0000ff"/>
          </w:rPr>
          <w:t xml:space="preserve">пунктами 2.6</w:t>
        </w:r>
      </w:hyperlink>
      <w:r>
        <w:rPr>
          <w:sz w:val="20"/>
        </w:rPr>
        <w:t xml:space="preserve">, </w:t>
      </w:r>
      <w:hyperlink w:history="0" r:id="rId28" w:tooltip="Постановление Администрации Приморского края от 17.04.2018 N 171-па (ред. от 01.04.2024) &quot;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quot; {КонсультантПлюс}">
        <w:r>
          <w:rPr>
            <w:sz w:val="20"/>
            <w:color w:val="0000ff"/>
          </w:rPr>
          <w:t xml:space="preserve">2.6.1</w:t>
        </w:r>
      </w:hyperlink>
      <w:r>
        <w:rPr>
          <w:sz w:val="20"/>
        </w:rPr>
        <w:t xml:space="preserve"> Порядка отбора претендентов;</w:t>
      </w:r>
    </w:p>
    <w:p>
      <w:pPr>
        <w:pStyle w:val="0"/>
        <w:jc w:val="both"/>
      </w:pPr>
      <w:r>
        <w:rPr>
          <w:sz w:val="20"/>
        </w:rPr>
        <w:t xml:space="preserve">(в ред. </w:t>
      </w:r>
      <w:hyperlink w:history="0" r:id="rId29" w:tooltip="Постановление администрации Находкинского городского округа от 27.10.2021 N 1097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Постановления</w:t>
        </w:r>
      </w:hyperlink>
      <w:r>
        <w:rPr>
          <w:sz w:val="20"/>
        </w:rPr>
        <w:t xml:space="preserve"> администрации Находкинского городского округа от 27.10.2021 N 1097)</w:t>
      </w:r>
    </w:p>
    <w:p>
      <w:pPr>
        <w:pStyle w:val="0"/>
        <w:spacing w:before="200" w:line-rule="auto"/>
        <w:ind w:firstLine="540"/>
        <w:jc w:val="both"/>
      </w:pPr>
      <w:r>
        <w:rPr>
          <w:sz w:val="20"/>
        </w:rPr>
        <w:t xml:space="preserve">2) по результатам проведенного аукциона в случае, установленном </w:t>
      </w:r>
      <w:hyperlink w:history="0" r:id="rId30" w:tooltip="Постановление Администрации Приморского края от 17.04.2018 N 171-па (ред. от 01.04.2024) &quot;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quot; {КонсультантПлюс}">
        <w:r>
          <w:rPr>
            <w:sz w:val="20"/>
            <w:color w:val="0000ff"/>
          </w:rPr>
          <w:t xml:space="preserve">пунктом 2.7</w:t>
        </w:r>
      </w:hyperlink>
      <w:r>
        <w:rPr>
          <w:sz w:val="20"/>
        </w:rPr>
        <w:t xml:space="preserve"> Порядка отбора претендентов.</w:t>
      </w:r>
    </w:p>
    <w:p>
      <w:pPr>
        <w:pStyle w:val="0"/>
        <w:spacing w:before="200" w:line-rule="auto"/>
        <w:ind w:firstLine="540"/>
        <w:jc w:val="both"/>
      </w:pPr>
      <w:r>
        <w:rPr>
          <w:sz w:val="20"/>
        </w:rPr>
        <w:t xml:space="preserve">5. Основанием внесения платы за размещение НТО на территории Находкинского городского округа (далее - плата за размещение) является заключенное с хозяйствующим субъектом Соглашение о размещении НТО.</w:t>
      </w:r>
    </w:p>
    <w:p>
      <w:pPr>
        <w:pStyle w:val="0"/>
        <w:spacing w:before="200" w:line-rule="auto"/>
        <w:ind w:firstLine="540"/>
        <w:jc w:val="both"/>
      </w:pPr>
      <w:r>
        <w:rPr>
          <w:sz w:val="20"/>
        </w:rPr>
        <w:t xml:space="preserve">6. Соглашение о размещении НТО заключается:</w:t>
      </w:r>
    </w:p>
    <w:p>
      <w:pPr>
        <w:pStyle w:val="0"/>
        <w:spacing w:before="200" w:line-rule="auto"/>
        <w:ind w:firstLine="540"/>
        <w:jc w:val="both"/>
      </w:pPr>
      <w:r>
        <w:rPr>
          <w:sz w:val="20"/>
        </w:rPr>
        <w:t xml:space="preserve">1) в случаях, установленных </w:t>
      </w:r>
      <w:hyperlink w:history="0" r:id="rId31" w:tooltip="Постановление Администрации Приморского края от 17.04.2018 N 171-па (ред. от 01.04.2024) &quot;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quot; {КонсультантПлюс}">
        <w:r>
          <w:rPr>
            <w:sz w:val="20"/>
            <w:color w:val="0000ff"/>
          </w:rPr>
          <w:t xml:space="preserve">пунктами 2.6</w:t>
        </w:r>
      </w:hyperlink>
      <w:r>
        <w:rPr>
          <w:sz w:val="20"/>
        </w:rPr>
        <w:t xml:space="preserve">, </w:t>
      </w:r>
      <w:hyperlink w:history="0" r:id="rId32" w:tooltip="Постановление Администрации Приморского края от 17.04.2018 N 171-па (ред. от 01.04.2024) &quot;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quot; {КонсультантПлюс}">
        <w:r>
          <w:rPr>
            <w:sz w:val="20"/>
            <w:color w:val="0000ff"/>
          </w:rPr>
          <w:t xml:space="preserve">2.7</w:t>
        </w:r>
      </w:hyperlink>
      <w:r>
        <w:rPr>
          <w:sz w:val="20"/>
        </w:rPr>
        <w:t xml:space="preserve"> Порядка отбора претендентов. Управление потребительского рынка в течение 20-ти рабочих дней со дня принятия администрацией Находкинского городского округа постановления о внесении изменений в Схему, заключает с хозяйствующим субъектом Соглашение о размещении НТО;</w:t>
      </w:r>
    </w:p>
    <w:p>
      <w:pPr>
        <w:pStyle w:val="0"/>
        <w:spacing w:before="200" w:line-rule="auto"/>
        <w:ind w:firstLine="540"/>
        <w:jc w:val="both"/>
      </w:pPr>
      <w:r>
        <w:rPr>
          <w:sz w:val="20"/>
        </w:rPr>
        <w:t xml:space="preserve">2) в случае, установленном </w:t>
      </w:r>
      <w:hyperlink w:history="0" r:id="rId33" w:tooltip="Постановление Администрации Приморского края от 17.04.2018 N 171-па (ред. от 01.04.2024) &quot;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quot; {КонсультантПлюс}">
        <w:r>
          <w:rPr>
            <w:sz w:val="20"/>
            <w:color w:val="0000ff"/>
          </w:rPr>
          <w:t xml:space="preserve">пунктом 2.10</w:t>
        </w:r>
      </w:hyperlink>
      <w:r>
        <w:rPr>
          <w:sz w:val="20"/>
        </w:rPr>
        <w:t xml:space="preserve"> Порядка отбора претендентов.</w:t>
      </w:r>
    </w:p>
    <w:p>
      <w:pPr>
        <w:pStyle w:val="0"/>
        <w:spacing w:before="200" w:line-rule="auto"/>
        <w:ind w:firstLine="540"/>
        <w:jc w:val="both"/>
      </w:pPr>
      <w:r>
        <w:rPr>
          <w:sz w:val="20"/>
        </w:rPr>
        <w:t xml:space="preserve">7. Соглашение о размещении НТО заключается сроком на 5 (пять) лет, за исключением случая, когда НТО размещается на сезонный (временный) период.</w:t>
      </w:r>
    </w:p>
    <w:p>
      <w:pPr>
        <w:pStyle w:val="0"/>
        <w:jc w:val="both"/>
      </w:pPr>
      <w:r>
        <w:rPr>
          <w:sz w:val="20"/>
        </w:rPr>
        <w:t xml:space="preserve">(п. 7 в ред. </w:t>
      </w:r>
      <w:hyperlink w:history="0" r:id="rId34" w:tooltip="Постановление администрации Находкинского городского округа от 08.04.2021 N 388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Постановления</w:t>
        </w:r>
      </w:hyperlink>
      <w:r>
        <w:rPr>
          <w:sz w:val="20"/>
        </w:rPr>
        <w:t xml:space="preserve"> администрации Находкинского городского округа от 08.04.2021 N 388)</w:t>
      </w:r>
    </w:p>
    <w:p>
      <w:pPr>
        <w:pStyle w:val="0"/>
        <w:spacing w:before="200" w:line-rule="auto"/>
        <w:ind w:firstLine="540"/>
        <w:jc w:val="both"/>
      </w:pPr>
      <w:r>
        <w:rPr>
          <w:sz w:val="20"/>
        </w:rPr>
        <w:t xml:space="preserve">7.1. Срок действия Соглашения может быть продлен по соглашению сторон на срок не более 5 (пяти) лет при выполнении Субъектом всех условий Соглашения и оформляется дополнительным соглашением.</w:t>
      </w:r>
    </w:p>
    <w:p>
      <w:pPr>
        <w:pStyle w:val="0"/>
        <w:jc w:val="both"/>
      </w:pPr>
      <w:r>
        <w:rPr>
          <w:sz w:val="20"/>
        </w:rPr>
        <w:t xml:space="preserve">(пп. 7.1 введен </w:t>
      </w:r>
      <w:hyperlink w:history="0" r:id="rId35" w:tooltip="Постановление администрации Находкинского городского округа от 27.10.2021 N 1097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Постановлением</w:t>
        </w:r>
      </w:hyperlink>
      <w:r>
        <w:rPr>
          <w:sz w:val="20"/>
        </w:rPr>
        <w:t xml:space="preserve"> администрации Находкинского городского округа от 27.10.2021 N 1097)</w:t>
      </w:r>
    </w:p>
    <w:p>
      <w:pPr>
        <w:pStyle w:val="0"/>
        <w:spacing w:before="200" w:line-rule="auto"/>
        <w:ind w:firstLine="540"/>
        <w:jc w:val="both"/>
      </w:pPr>
      <w:r>
        <w:rPr>
          <w:sz w:val="20"/>
        </w:rPr>
        <w:t xml:space="preserve">8. Размер платы за право включения в Схему НТО определяется:</w:t>
      </w:r>
    </w:p>
    <w:p>
      <w:pPr>
        <w:pStyle w:val="0"/>
        <w:spacing w:before="200" w:line-rule="auto"/>
        <w:ind w:firstLine="540"/>
        <w:jc w:val="both"/>
      </w:pPr>
      <w:r>
        <w:rPr>
          <w:sz w:val="20"/>
        </w:rPr>
        <w:t xml:space="preserve">8.1. По итогам аукциона;</w:t>
      </w:r>
    </w:p>
    <w:p>
      <w:pPr>
        <w:pStyle w:val="0"/>
        <w:spacing w:before="200" w:line-rule="auto"/>
        <w:ind w:firstLine="540"/>
        <w:jc w:val="both"/>
      </w:pPr>
      <w:r>
        <w:rPr>
          <w:sz w:val="20"/>
        </w:rPr>
        <w:t xml:space="preserve">8.2. На основании </w:t>
      </w:r>
      <w:hyperlink w:history="0" r:id="rId36" w:tooltip="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 Недействующая редакция {КонсультантПлюс}">
        <w:r>
          <w:rPr>
            <w:sz w:val="20"/>
            <w:color w:val="0000ff"/>
          </w:rPr>
          <w:t xml:space="preserve">Методики</w:t>
        </w:r>
      </w:hyperlink>
      <w:r>
        <w:rPr>
          <w:sz w:val="20"/>
        </w:rPr>
        <w:t xml:space="preserve"> расчета платы за право включения хозяйствующего субъекта в схему размещения нестационарных торговых объектов на территории Находкинского городского округа, утвержденной постановлением администрации Находкинского городского округа от 12.04.2019 N 619, в случае, когда в соответствии с </w:t>
      </w:r>
      <w:hyperlink w:history="0" r:id="rId37" w:tooltip="Постановление Администрации Приморского края от 17.04.2018 N 171-па (ред. от 01.04.2024) &quot;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quot; {КонсультантПлюс}">
        <w:r>
          <w:rPr>
            <w:sz w:val="20"/>
            <w:color w:val="0000ff"/>
          </w:rPr>
          <w:t xml:space="preserve">пунктами 2.6</w:t>
        </w:r>
      </w:hyperlink>
      <w:r>
        <w:rPr>
          <w:sz w:val="20"/>
        </w:rPr>
        <w:t xml:space="preserve">, </w:t>
      </w:r>
      <w:hyperlink w:history="0" r:id="rId38" w:tooltip="Постановление Администрации Приморского края от 17.04.2018 N 171-па (ред. от 01.04.2024) &quot;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quot; {КонсультантПлюс}">
        <w:r>
          <w:rPr>
            <w:sz w:val="20"/>
            <w:color w:val="0000ff"/>
          </w:rPr>
          <w:t xml:space="preserve">2.6.1</w:t>
        </w:r>
      </w:hyperlink>
      <w:r>
        <w:rPr>
          <w:sz w:val="20"/>
        </w:rPr>
        <w:t xml:space="preserve"> Порядка отбора претендентов аукцион не проводится.</w:t>
      </w:r>
    </w:p>
    <w:p>
      <w:pPr>
        <w:pStyle w:val="0"/>
        <w:jc w:val="both"/>
      </w:pPr>
      <w:r>
        <w:rPr>
          <w:sz w:val="20"/>
        </w:rPr>
        <w:t xml:space="preserve">(в ред. </w:t>
      </w:r>
      <w:hyperlink w:history="0" r:id="rId39" w:tooltip="Постановление администрации Находкинского городского округа от 27.10.2021 N 1097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Постановления</w:t>
        </w:r>
      </w:hyperlink>
      <w:r>
        <w:rPr>
          <w:sz w:val="20"/>
        </w:rPr>
        <w:t xml:space="preserve"> администрации Находкинского городского округа от 27.10.2021 N 1097)</w:t>
      </w:r>
    </w:p>
    <w:p>
      <w:pPr>
        <w:pStyle w:val="0"/>
        <w:spacing w:before="200" w:line-rule="auto"/>
        <w:ind w:firstLine="540"/>
        <w:jc w:val="both"/>
      </w:pPr>
      <w:r>
        <w:rPr>
          <w:sz w:val="20"/>
        </w:rPr>
        <w:t xml:space="preserve">9. Плата за право включения в Схему вносится разовым платежом в течение 10 дней со дня принятия постановления администрации Находкинского городского округа о внесении изменений в Схему.</w:t>
      </w:r>
    </w:p>
    <w:p>
      <w:pPr>
        <w:pStyle w:val="0"/>
        <w:spacing w:before="200" w:line-rule="auto"/>
        <w:ind w:firstLine="540"/>
        <w:jc w:val="both"/>
      </w:pPr>
      <w:r>
        <w:rPr>
          <w:sz w:val="20"/>
        </w:rPr>
        <w:t xml:space="preserve">10. Размер платы за размещение НТО рассчитывается в соответствии с </w:t>
      </w:r>
      <w:hyperlink w:history="0" r:id="rId40" w:tooltip="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 Недействующая редакция {КонсультантПлюс}">
        <w:r>
          <w:rPr>
            <w:sz w:val="20"/>
            <w:color w:val="0000ff"/>
          </w:rPr>
          <w:t xml:space="preserve">Методикой</w:t>
        </w:r>
      </w:hyperlink>
      <w:r>
        <w:rPr>
          <w:sz w:val="20"/>
        </w:rPr>
        <w:t xml:space="preserve"> расчета платы за размещение нестационарного торгового объекта на территории Находкинского городского округа, утвержденной постановлением администрации Находкинского городского округа от 12.04.2019 N 619.</w:t>
      </w:r>
    </w:p>
    <w:p>
      <w:pPr>
        <w:pStyle w:val="0"/>
        <w:spacing w:before="200" w:line-rule="auto"/>
        <w:ind w:firstLine="540"/>
        <w:jc w:val="both"/>
      </w:pPr>
      <w:r>
        <w:rPr>
          <w:sz w:val="20"/>
        </w:rPr>
        <w:t xml:space="preserve">11. Плата за размещение НТО, в случае размещения НТО сроком:</w:t>
      </w:r>
    </w:p>
    <w:p>
      <w:pPr>
        <w:pStyle w:val="0"/>
        <w:spacing w:before="200" w:line-rule="auto"/>
        <w:ind w:firstLine="540"/>
        <w:jc w:val="both"/>
      </w:pPr>
      <w:r>
        <w:rPr>
          <w:sz w:val="20"/>
        </w:rPr>
        <w:t xml:space="preserve">- до 1 года - вносится разовым платежом в течение 10 дней со дня заключения Соглашения;</w:t>
      </w:r>
    </w:p>
    <w:p>
      <w:pPr>
        <w:pStyle w:val="0"/>
        <w:spacing w:before="200" w:line-rule="auto"/>
        <w:ind w:firstLine="540"/>
        <w:jc w:val="both"/>
      </w:pPr>
      <w:r>
        <w:rPr>
          <w:sz w:val="20"/>
        </w:rPr>
        <w:t xml:space="preserve">- более 1 года - вносится ежемесячно равными долями, не позднее числа месяца, в котором было заключено Соглашение.</w:t>
      </w:r>
    </w:p>
    <w:p>
      <w:pPr>
        <w:pStyle w:val="0"/>
        <w:jc w:val="both"/>
      </w:pPr>
      <w:r>
        <w:rPr>
          <w:sz w:val="20"/>
        </w:rPr>
        <w:t xml:space="preserve">(в ред. </w:t>
      </w:r>
      <w:hyperlink w:history="0" r:id="rId41" w:tooltip="Постановление администрации Находкинского городского округа от 27.10.2021 N 1097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Постановления</w:t>
        </w:r>
      </w:hyperlink>
      <w:r>
        <w:rPr>
          <w:sz w:val="20"/>
        </w:rPr>
        <w:t xml:space="preserve"> администрации Находкинского городского округа от 27.10.2021 N 1097)</w:t>
      </w:r>
    </w:p>
    <w:p>
      <w:pPr>
        <w:pStyle w:val="0"/>
        <w:spacing w:before="200" w:line-rule="auto"/>
        <w:ind w:firstLine="540"/>
        <w:jc w:val="both"/>
      </w:pPr>
      <w:r>
        <w:rPr>
          <w:sz w:val="20"/>
        </w:rPr>
        <w:t xml:space="preserve">12. Плата за право включения в схему НТО и плата за размещение НТО производится в бюджет Находкинского городского округа.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от 12.04.2019 N 619</w:t>
      </w:r>
    </w:p>
    <w:p>
      <w:pPr>
        <w:pStyle w:val="0"/>
        <w:jc w:val="both"/>
      </w:pPr>
      <w:r>
        <w:rPr>
          <w:sz w:val="20"/>
        </w:rPr>
      </w:r>
    </w:p>
    <w:bookmarkStart w:id="98" w:name="P98"/>
    <w:bookmarkEnd w:id="98"/>
    <w:p>
      <w:pPr>
        <w:pStyle w:val="2"/>
        <w:jc w:val="center"/>
      </w:pPr>
      <w:r>
        <w:rPr>
          <w:sz w:val="20"/>
        </w:rPr>
        <w:t xml:space="preserve">МЕТОДИКА</w:t>
      </w:r>
    </w:p>
    <w:p>
      <w:pPr>
        <w:pStyle w:val="2"/>
        <w:jc w:val="center"/>
      </w:pPr>
      <w:r>
        <w:rPr>
          <w:sz w:val="20"/>
        </w:rPr>
        <w:t xml:space="preserve">РАСЧЕТА ПЛАТЫ ЗА ПРАВО ВКЛЮЧЕНИЯ ХОЗЯЙСТВУЮЩЕГО</w:t>
      </w:r>
    </w:p>
    <w:p>
      <w:pPr>
        <w:pStyle w:val="2"/>
        <w:jc w:val="center"/>
      </w:pPr>
      <w:r>
        <w:rPr>
          <w:sz w:val="20"/>
        </w:rPr>
        <w:t xml:space="preserve">СУБЪЕКТА В СХЕМУ РАЗМЕЩЕНИЯ НЕСТАЦИОНАРНЫХ ТОРГОВЫХ</w:t>
      </w:r>
    </w:p>
    <w:p>
      <w:pPr>
        <w:pStyle w:val="2"/>
        <w:jc w:val="center"/>
      </w:pPr>
      <w:r>
        <w:rPr>
          <w:sz w:val="20"/>
        </w:rPr>
        <w:t xml:space="preserve">ОБЪЕКТОВ НА ТЕРРИТОРИИ НАХОДКИНСКОГО ГОРОДСКОГО ОБЪЕКТА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w:t>
            </w:r>
          </w:p>
          <w:p>
            <w:pPr>
              <w:pStyle w:val="0"/>
              <w:jc w:val="center"/>
            </w:pPr>
            <w:r>
              <w:rPr>
                <w:sz w:val="20"/>
                <w:color w:val="392c69"/>
              </w:rPr>
              <w:t xml:space="preserve">Находкинского городского округа</w:t>
            </w:r>
          </w:p>
          <w:p>
            <w:pPr>
              <w:pStyle w:val="0"/>
              <w:jc w:val="center"/>
            </w:pPr>
            <w:r>
              <w:rPr>
                <w:sz w:val="20"/>
                <w:color w:val="392c69"/>
              </w:rPr>
              <w:t xml:space="preserve">от 28.04.2020 </w:t>
            </w:r>
            <w:hyperlink w:history="0" r:id="rId42" w:tooltip="Постановление администрации Находкинского городского округа от 28.04.2020 N 589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N 589</w:t>
              </w:r>
            </w:hyperlink>
            <w:r>
              <w:rPr>
                <w:sz w:val="20"/>
                <w:color w:val="392c69"/>
              </w:rPr>
              <w:t xml:space="preserve">, от 08.04.2021 </w:t>
            </w:r>
            <w:hyperlink w:history="0" r:id="rId43" w:tooltip="Постановление администрации Находкинского городского округа от 08.04.2021 N 388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N 388</w:t>
              </w:r>
            </w:hyperlink>
            <w:r>
              <w:rPr>
                <w:sz w:val="20"/>
                <w:color w:val="392c69"/>
              </w:rPr>
              <w:t xml:space="preserve">,</w:t>
            </w:r>
          </w:p>
          <w:p>
            <w:pPr>
              <w:pStyle w:val="0"/>
              <w:jc w:val="center"/>
            </w:pPr>
            <w:r>
              <w:rPr>
                <w:sz w:val="20"/>
                <w:color w:val="392c69"/>
              </w:rPr>
              <w:t xml:space="preserve">от 27.10.2021 </w:t>
            </w:r>
            <w:hyperlink w:history="0" r:id="rId44" w:tooltip="Постановление администрации Находкинского городского округа от 27.10.2021 N 1097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N 1097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Настоящая Методика расчета платы за право включения хозяйствующего субъекта в схему размещения нестационарных торговых объектов на территории Находкинского городского округа (далее - Методика) разработана во исполнение </w:t>
      </w:r>
      <w:hyperlink w:history="0" r:id="rId45" w:tooltip="Постановление Администрации Приморского края от 17.04.2018 N 171-па (ред. от 01.04.2024) &quot;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quot; {КонсультантПлюс}">
        <w:r>
          <w:rPr>
            <w:sz w:val="20"/>
            <w:color w:val="0000ff"/>
          </w:rPr>
          <w:t xml:space="preserve">постановления</w:t>
        </w:r>
      </w:hyperlink>
      <w:r>
        <w:rPr>
          <w:sz w:val="20"/>
        </w:rPr>
        <w:t xml:space="preserve"> Администрации Приморского края от 17.04.2018 N 171-па "Об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w:t>
      </w:r>
    </w:p>
    <w:p>
      <w:pPr>
        <w:pStyle w:val="0"/>
        <w:jc w:val="both"/>
      </w:pPr>
      <w:r>
        <w:rPr>
          <w:sz w:val="20"/>
        </w:rPr>
      </w:r>
    </w:p>
    <w:p>
      <w:pPr>
        <w:pStyle w:val="2"/>
        <w:outlineLvl w:val="1"/>
        <w:jc w:val="center"/>
      </w:pPr>
      <w:r>
        <w:rPr>
          <w:sz w:val="20"/>
        </w:rPr>
        <w:t xml:space="preserve">2. Порядок определения размера платы</w:t>
      </w:r>
    </w:p>
    <w:p>
      <w:pPr>
        <w:pStyle w:val="2"/>
        <w:jc w:val="center"/>
      </w:pPr>
      <w:r>
        <w:rPr>
          <w:sz w:val="20"/>
        </w:rPr>
        <w:t xml:space="preserve">за право включения хозяйствующего субъекта в схему</w:t>
      </w:r>
    </w:p>
    <w:p>
      <w:pPr>
        <w:pStyle w:val="2"/>
        <w:jc w:val="center"/>
      </w:pPr>
      <w:r>
        <w:rPr>
          <w:sz w:val="20"/>
        </w:rPr>
        <w:t xml:space="preserve">размещения нестационарных торговых объектов на территории</w:t>
      </w:r>
    </w:p>
    <w:p>
      <w:pPr>
        <w:pStyle w:val="2"/>
        <w:jc w:val="center"/>
      </w:pPr>
      <w:r>
        <w:rPr>
          <w:sz w:val="20"/>
        </w:rPr>
        <w:t xml:space="preserve">Находкинского городского округа</w:t>
      </w:r>
    </w:p>
    <w:p>
      <w:pPr>
        <w:pStyle w:val="0"/>
        <w:jc w:val="both"/>
      </w:pPr>
      <w:r>
        <w:rPr>
          <w:sz w:val="20"/>
        </w:rPr>
      </w:r>
    </w:p>
    <w:p>
      <w:pPr>
        <w:pStyle w:val="0"/>
        <w:ind w:firstLine="540"/>
        <w:jc w:val="both"/>
      </w:pPr>
      <w:r>
        <w:rPr>
          <w:sz w:val="20"/>
        </w:rPr>
        <w:t xml:space="preserve">2.1. Плата за право включения хозяйствующего субъекта в схему размещения нестационарных торговых объектов на территории Находкинского городского округа (далее - плата за право включения) устанавливается исходя из следующих критериев:</w:t>
      </w:r>
    </w:p>
    <w:p>
      <w:pPr>
        <w:pStyle w:val="0"/>
        <w:spacing w:before="200" w:line-rule="auto"/>
        <w:ind w:firstLine="540"/>
        <w:jc w:val="both"/>
      </w:pPr>
      <w:r>
        <w:rPr>
          <w:sz w:val="20"/>
        </w:rPr>
        <w:t xml:space="preserve">- площади нестационарного торгового объекта;</w:t>
      </w:r>
    </w:p>
    <w:p>
      <w:pPr>
        <w:pStyle w:val="0"/>
        <w:spacing w:before="200" w:line-rule="auto"/>
        <w:ind w:firstLine="540"/>
        <w:jc w:val="both"/>
      </w:pPr>
      <w:r>
        <w:rPr>
          <w:sz w:val="20"/>
        </w:rPr>
        <w:t xml:space="preserve">- среднего значения удельного показателя кадастровой стоимости земельных участков Находкинского городского округа расчета 5-го вида разрешенного использования;</w:t>
      </w:r>
    </w:p>
    <w:p>
      <w:pPr>
        <w:pStyle w:val="0"/>
        <w:spacing w:before="200" w:line-rule="auto"/>
        <w:ind w:firstLine="540"/>
        <w:jc w:val="both"/>
      </w:pPr>
      <w:r>
        <w:rPr>
          <w:sz w:val="20"/>
        </w:rPr>
        <w:t xml:space="preserve">- ставки земельного налога;</w:t>
      </w:r>
    </w:p>
    <w:p>
      <w:pPr>
        <w:pStyle w:val="0"/>
        <w:spacing w:before="200" w:line-rule="auto"/>
        <w:ind w:firstLine="540"/>
        <w:jc w:val="both"/>
      </w:pPr>
      <w:r>
        <w:rPr>
          <w:sz w:val="20"/>
        </w:rPr>
        <w:t xml:space="preserve">- коэффициента функционального использования;</w:t>
      </w:r>
    </w:p>
    <w:p>
      <w:pPr>
        <w:pStyle w:val="0"/>
        <w:spacing w:before="200" w:line-rule="auto"/>
        <w:ind w:firstLine="540"/>
        <w:jc w:val="both"/>
      </w:pPr>
      <w:r>
        <w:rPr>
          <w:sz w:val="20"/>
        </w:rPr>
        <w:t xml:space="preserve">- коэффициента территориального размещения.</w:t>
      </w:r>
    </w:p>
    <w:bookmarkStart w:id="123" w:name="P123"/>
    <w:bookmarkEnd w:id="123"/>
    <w:p>
      <w:pPr>
        <w:pStyle w:val="0"/>
        <w:spacing w:before="200" w:line-rule="auto"/>
        <w:ind w:firstLine="540"/>
        <w:jc w:val="both"/>
      </w:pPr>
      <w:r>
        <w:rPr>
          <w:sz w:val="20"/>
        </w:rPr>
        <w:t xml:space="preserve">2.2. Размер платы за право включения без проведения закрытого аукциона на право включения в схему размещения нестационарных торговых объектов на территории Находкинского городского округа (далее - аукцион) определяется по следующей формуле:</w:t>
      </w:r>
    </w:p>
    <w:p>
      <w:pPr>
        <w:pStyle w:val="0"/>
        <w:jc w:val="both"/>
      </w:pPr>
      <w:r>
        <w:rPr>
          <w:sz w:val="20"/>
        </w:rPr>
      </w:r>
    </w:p>
    <w:p>
      <w:pPr>
        <w:pStyle w:val="0"/>
        <w:ind w:firstLine="540"/>
        <w:jc w:val="both"/>
      </w:pPr>
      <w:r>
        <w:rPr>
          <w:sz w:val="20"/>
        </w:rPr>
        <w:t xml:space="preserve">П = (Скд x Сзн x Кфи x Sнто x Кт) / 12, где:</w:t>
      </w:r>
    </w:p>
    <w:p>
      <w:pPr>
        <w:pStyle w:val="0"/>
        <w:jc w:val="both"/>
      </w:pPr>
      <w:r>
        <w:rPr>
          <w:sz w:val="20"/>
        </w:rPr>
      </w:r>
    </w:p>
    <w:p>
      <w:pPr>
        <w:pStyle w:val="0"/>
        <w:ind w:firstLine="540"/>
        <w:jc w:val="both"/>
      </w:pPr>
      <w:r>
        <w:rPr>
          <w:sz w:val="20"/>
        </w:rPr>
        <w:t xml:space="preserve">П - размер платы за включение хозяйствующего субъекта;</w:t>
      </w:r>
    </w:p>
    <w:p>
      <w:pPr>
        <w:pStyle w:val="0"/>
        <w:spacing w:before="200" w:line-rule="auto"/>
        <w:ind w:firstLine="540"/>
        <w:jc w:val="both"/>
      </w:pPr>
      <w:r>
        <w:rPr>
          <w:sz w:val="20"/>
        </w:rPr>
        <w:t xml:space="preserve">Скд - среднее значение удельного показателя кадастровой стоимости земельных участков Находкинского городского округа из расчета 5-го вида разрешенного использования;</w:t>
      </w:r>
    </w:p>
    <w:p>
      <w:pPr>
        <w:pStyle w:val="0"/>
        <w:spacing w:before="200" w:line-rule="auto"/>
        <w:ind w:firstLine="540"/>
        <w:jc w:val="both"/>
      </w:pPr>
      <w:r>
        <w:rPr>
          <w:sz w:val="20"/>
        </w:rPr>
        <w:t xml:space="preserve">Сзн - ставка земельного налога;</w:t>
      </w:r>
    </w:p>
    <w:p>
      <w:pPr>
        <w:pStyle w:val="0"/>
        <w:spacing w:before="200" w:line-rule="auto"/>
        <w:ind w:firstLine="540"/>
        <w:jc w:val="both"/>
      </w:pPr>
      <w:r>
        <w:rPr>
          <w:sz w:val="20"/>
        </w:rPr>
        <w:t xml:space="preserve">Кфи - коэффициент функционального использования;</w:t>
      </w:r>
    </w:p>
    <w:p>
      <w:pPr>
        <w:pStyle w:val="0"/>
        <w:spacing w:before="200" w:line-rule="auto"/>
        <w:ind w:firstLine="540"/>
        <w:jc w:val="both"/>
      </w:pPr>
      <w:r>
        <w:rPr>
          <w:sz w:val="20"/>
        </w:rPr>
        <w:t xml:space="preserve">Sнто - площадь нестационарного торгового объекта;</w:t>
      </w:r>
    </w:p>
    <w:p>
      <w:pPr>
        <w:pStyle w:val="0"/>
        <w:spacing w:before="200" w:line-rule="auto"/>
        <w:ind w:firstLine="540"/>
        <w:jc w:val="both"/>
      </w:pPr>
      <w:r>
        <w:rPr>
          <w:sz w:val="20"/>
        </w:rPr>
        <w:t xml:space="preserve">Кт - коэффициент территориального размещения.</w:t>
      </w:r>
    </w:p>
    <w:p>
      <w:pPr>
        <w:pStyle w:val="0"/>
        <w:spacing w:before="200" w:line-rule="auto"/>
        <w:ind w:firstLine="540"/>
        <w:jc w:val="both"/>
      </w:pPr>
      <w:r>
        <w:rPr>
          <w:sz w:val="20"/>
        </w:rPr>
        <w:t xml:space="preserve">2.3. Среднее значение удельного показателя кадастровой стоимости земельных участков Находкинского городского округа из расчета 5-го вида разрешенного использования устанавливается нормативным правовым актом органа исполнительной власти Приморского края.</w:t>
      </w:r>
    </w:p>
    <w:p>
      <w:pPr>
        <w:pStyle w:val="0"/>
        <w:spacing w:before="200" w:line-rule="auto"/>
        <w:ind w:firstLine="540"/>
        <w:jc w:val="both"/>
      </w:pPr>
      <w:r>
        <w:rPr>
          <w:sz w:val="20"/>
        </w:rPr>
        <w:t xml:space="preserve">2.4. Ставка земельного налога устанавливается решением Думы Находкинского городского округа.</w:t>
      </w:r>
    </w:p>
    <w:p>
      <w:pPr>
        <w:pStyle w:val="0"/>
        <w:jc w:val="both"/>
      </w:pPr>
      <w:r>
        <w:rPr>
          <w:sz w:val="20"/>
        </w:rPr>
        <w:t xml:space="preserve">(п. 2.4 в ред. </w:t>
      </w:r>
      <w:hyperlink w:history="0" r:id="rId46" w:tooltip="Постановление администрации Находкинского городского округа от 28.04.2020 N 589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Постановления</w:t>
        </w:r>
      </w:hyperlink>
      <w:r>
        <w:rPr>
          <w:sz w:val="20"/>
        </w:rPr>
        <w:t xml:space="preserve"> администрации Находкинского городского округа от 28.04.2020 N 589)</w:t>
      </w:r>
    </w:p>
    <w:p>
      <w:pPr>
        <w:pStyle w:val="0"/>
        <w:spacing w:before="200" w:line-rule="auto"/>
        <w:ind w:firstLine="540"/>
        <w:jc w:val="both"/>
      </w:pPr>
      <w:r>
        <w:rPr>
          <w:sz w:val="20"/>
        </w:rPr>
        <w:t xml:space="preserve">2.5. Коэффициент функционального использования (Кфи) и коэффициент территориального размещения (Кт) применяются в соответствии с настоящей Методикой.</w:t>
      </w:r>
    </w:p>
    <w:p>
      <w:pPr>
        <w:pStyle w:val="0"/>
        <w:spacing w:before="200" w:line-rule="auto"/>
        <w:ind w:firstLine="540"/>
        <w:jc w:val="both"/>
      </w:pPr>
      <w:r>
        <w:rPr>
          <w:sz w:val="20"/>
        </w:rPr>
        <w:t xml:space="preserve">2.6. Размер платы за право включения при заключении соглашения о включении хозяйствующего субъекта в схему размещения нестационарных торговых объектов на территории Находкинского городского округа определяется:</w:t>
      </w:r>
    </w:p>
    <w:p>
      <w:pPr>
        <w:pStyle w:val="0"/>
        <w:spacing w:before="200" w:line-rule="auto"/>
        <w:ind w:firstLine="540"/>
        <w:jc w:val="both"/>
      </w:pPr>
      <w:r>
        <w:rPr>
          <w:sz w:val="20"/>
        </w:rPr>
        <w:t xml:space="preserve">- без проведения аукциона - в соответствии с </w:t>
      </w:r>
      <w:hyperlink w:history="0" w:anchor="P123" w:tooltip="2.2. Размер платы за право включения без проведения закрытого аукциона на право включения в схему размещения нестационарных торговых объектов на территории Находкинского городского округа (далее - аукцион) определяется по следующей формуле:">
        <w:r>
          <w:rPr>
            <w:sz w:val="20"/>
            <w:color w:val="0000ff"/>
          </w:rPr>
          <w:t xml:space="preserve">пунктом 2.2</w:t>
        </w:r>
      </w:hyperlink>
      <w:r>
        <w:rPr>
          <w:sz w:val="20"/>
        </w:rPr>
        <w:t xml:space="preserve"> настоящей Методики;</w:t>
      </w:r>
    </w:p>
    <w:p>
      <w:pPr>
        <w:pStyle w:val="0"/>
        <w:spacing w:before="200" w:line-rule="auto"/>
        <w:ind w:firstLine="540"/>
        <w:jc w:val="both"/>
      </w:pPr>
      <w:r>
        <w:rPr>
          <w:sz w:val="20"/>
        </w:rPr>
        <w:t xml:space="preserve">- по результатам аукциона - протоколом об итогах аукциона.</w:t>
      </w:r>
    </w:p>
    <w:p>
      <w:pPr>
        <w:pStyle w:val="0"/>
        <w:spacing w:before="200" w:line-rule="auto"/>
        <w:ind w:firstLine="540"/>
        <w:jc w:val="both"/>
      </w:pPr>
      <w:r>
        <w:rPr>
          <w:sz w:val="20"/>
        </w:rPr>
        <w:t xml:space="preserve">Начальная (стартовая) цена участия в аукционе является равной размеру платы за право включения без проведения аукциона.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Методике</w:t>
      </w:r>
    </w:p>
    <w:p>
      <w:pPr>
        <w:pStyle w:val="0"/>
        <w:jc w:val="right"/>
      </w:pPr>
      <w:r>
        <w:rPr>
          <w:sz w:val="20"/>
        </w:rPr>
        <w:t xml:space="preserve">расчета платы за право</w:t>
      </w:r>
    </w:p>
    <w:p>
      <w:pPr>
        <w:pStyle w:val="0"/>
        <w:jc w:val="right"/>
      </w:pPr>
      <w:r>
        <w:rPr>
          <w:sz w:val="20"/>
        </w:rPr>
        <w:t xml:space="preserve">включения хозяйствующего</w:t>
      </w:r>
    </w:p>
    <w:p>
      <w:pPr>
        <w:pStyle w:val="0"/>
        <w:jc w:val="right"/>
      </w:pPr>
      <w:r>
        <w:rPr>
          <w:sz w:val="20"/>
        </w:rPr>
        <w:t xml:space="preserve">субъекта в схему</w:t>
      </w:r>
    </w:p>
    <w:p>
      <w:pPr>
        <w:pStyle w:val="0"/>
        <w:jc w:val="right"/>
      </w:pPr>
      <w:r>
        <w:rPr>
          <w:sz w:val="20"/>
        </w:rPr>
        <w:t xml:space="preserve">размещения нестационарных</w:t>
      </w:r>
    </w:p>
    <w:p>
      <w:pPr>
        <w:pStyle w:val="0"/>
        <w:jc w:val="right"/>
      </w:pPr>
      <w:r>
        <w:rPr>
          <w:sz w:val="20"/>
        </w:rPr>
        <w:t xml:space="preserve">торговых объектов на</w:t>
      </w:r>
    </w:p>
    <w:p>
      <w:pPr>
        <w:pStyle w:val="0"/>
        <w:jc w:val="right"/>
      </w:pPr>
      <w:r>
        <w:rPr>
          <w:sz w:val="20"/>
        </w:rPr>
        <w:t xml:space="preserve">территории Находкинского</w:t>
      </w:r>
    </w:p>
    <w:p>
      <w:pPr>
        <w:pStyle w:val="0"/>
        <w:jc w:val="right"/>
      </w:pPr>
      <w:r>
        <w:rPr>
          <w:sz w:val="20"/>
        </w:rPr>
        <w:t xml:space="preserve">городского округа,</w:t>
      </w:r>
    </w:p>
    <w:p>
      <w:pPr>
        <w:pStyle w:val="0"/>
        <w:jc w:val="right"/>
      </w:pPr>
      <w:r>
        <w:rPr>
          <w:sz w:val="20"/>
        </w:rPr>
        <w:t xml:space="preserve">утвержденной</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от 12.04.2019 N 619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w:t>
            </w:r>
          </w:p>
          <w:p>
            <w:pPr>
              <w:pStyle w:val="0"/>
              <w:jc w:val="center"/>
            </w:pPr>
            <w:r>
              <w:rPr>
                <w:sz w:val="20"/>
                <w:color w:val="392c69"/>
              </w:rPr>
              <w:t xml:space="preserve">Находкинского городского округа</w:t>
            </w:r>
          </w:p>
          <w:p>
            <w:pPr>
              <w:pStyle w:val="0"/>
              <w:jc w:val="center"/>
            </w:pPr>
            <w:r>
              <w:rPr>
                <w:sz w:val="20"/>
                <w:color w:val="392c69"/>
              </w:rPr>
              <w:t xml:space="preserve">от 08.04.2021 </w:t>
            </w:r>
            <w:hyperlink w:history="0" r:id="rId47" w:tooltip="Постановление администрации Находкинского городского округа от 08.04.2021 N 388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N 388</w:t>
              </w:r>
            </w:hyperlink>
            <w:r>
              <w:rPr>
                <w:sz w:val="20"/>
                <w:color w:val="392c69"/>
              </w:rPr>
              <w:t xml:space="preserve">, от 27.10.2021 </w:t>
            </w:r>
            <w:hyperlink w:history="0" r:id="rId48" w:tooltip="Постановление администрации Находкинского городского округа от 27.10.2021 N 1097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N 1097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jc w:val="center"/>
      </w:pPr>
      <w:r>
        <w:rPr>
          <w:sz w:val="20"/>
        </w:rPr>
        <w:t xml:space="preserve">Таблица значений коэффициентов,</w:t>
      </w:r>
    </w:p>
    <w:p>
      <w:pPr>
        <w:pStyle w:val="2"/>
        <w:jc w:val="center"/>
      </w:pPr>
      <w:r>
        <w:rPr>
          <w:sz w:val="20"/>
        </w:rPr>
        <w:t xml:space="preserve">учитывающих площадь нестационарного торгового объекта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19"/>
        <w:gridCol w:w="3005"/>
      </w:tblGrid>
      <w:tr>
        <w:tc>
          <w:tcPr>
            <w:tcW w:w="4819" w:type="dxa"/>
          </w:tcPr>
          <w:p>
            <w:pPr>
              <w:pStyle w:val="0"/>
              <w:jc w:val="center"/>
            </w:pPr>
            <w:r>
              <w:rPr>
                <w:sz w:val="20"/>
              </w:rPr>
              <w:t xml:space="preserve">Виды функционального использования нестационарного торгового объекта</w:t>
            </w:r>
          </w:p>
        </w:tc>
        <w:tc>
          <w:tcPr>
            <w:tcW w:w="3005" w:type="dxa"/>
          </w:tcPr>
          <w:p>
            <w:pPr>
              <w:pStyle w:val="0"/>
              <w:jc w:val="center"/>
            </w:pPr>
            <w:r>
              <w:rPr>
                <w:sz w:val="20"/>
              </w:rPr>
              <w:t xml:space="preserve">Значение коэффициента, учитывающего площадь нестационарного торгового объекта (Кфи)</w:t>
            </w:r>
          </w:p>
        </w:tc>
      </w:tr>
      <w:tr>
        <w:tc>
          <w:tcPr>
            <w:tcW w:w="4819" w:type="dxa"/>
          </w:tcPr>
          <w:p>
            <w:pPr>
              <w:pStyle w:val="0"/>
            </w:pPr>
            <w:r>
              <w:rPr>
                <w:sz w:val="20"/>
              </w:rPr>
              <w:t xml:space="preserve">Киоски по продаже хлеба и хлебобулочных изделий</w:t>
            </w:r>
          </w:p>
        </w:tc>
        <w:tc>
          <w:tcPr>
            <w:tcW w:w="3005" w:type="dxa"/>
          </w:tcPr>
          <w:p>
            <w:pPr>
              <w:pStyle w:val="0"/>
              <w:jc w:val="right"/>
            </w:pPr>
            <w:r>
              <w:rPr>
                <w:sz w:val="20"/>
              </w:rPr>
              <w:t xml:space="preserve">9,9</w:t>
            </w:r>
          </w:p>
        </w:tc>
      </w:tr>
      <w:tr>
        <w:tc>
          <w:tcPr>
            <w:tcW w:w="4819" w:type="dxa"/>
          </w:tcPr>
          <w:p>
            <w:pPr>
              <w:pStyle w:val="0"/>
            </w:pPr>
            <w:r>
              <w:rPr>
                <w:sz w:val="20"/>
              </w:rPr>
              <w:t xml:space="preserve">Киоски по продаже печатной продукции и спортлото</w:t>
            </w:r>
          </w:p>
        </w:tc>
        <w:tc>
          <w:tcPr>
            <w:tcW w:w="3005" w:type="dxa"/>
          </w:tcPr>
          <w:p>
            <w:pPr>
              <w:pStyle w:val="0"/>
              <w:jc w:val="right"/>
            </w:pPr>
            <w:r>
              <w:rPr>
                <w:sz w:val="20"/>
              </w:rPr>
              <w:t xml:space="preserve">10</w:t>
            </w:r>
          </w:p>
        </w:tc>
      </w:tr>
      <w:tr>
        <w:tc>
          <w:tcPr>
            <w:tcW w:w="4819" w:type="dxa"/>
          </w:tcPr>
          <w:p>
            <w:pPr>
              <w:pStyle w:val="0"/>
            </w:pPr>
            <w:r>
              <w:rPr>
                <w:sz w:val="20"/>
              </w:rPr>
              <w:t xml:space="preserve">Киоски по оказанию услуг торговли прочей продукцией</w:t>
            </w:r>
          </w:p>
        </w:tc>
        <w:tc>
          <w:tcPr>
            <w:tcW w:w="3005" w:type="dxa"/>
          </w:tcPr>
          <w:p>
            <w:pPr>
              <w:pStyle w:val="0"/>
              <w:jc w:val="right"/>
            </w:pPr>
            <w:r>
              <w:rPr>
                <w:sz w:val="20"/>
              </w:rPr>
              <w:t xml:space="preserve">10,5</w:t>
            </w:r>
          </w:p>
        </w:tc>
      </w:tr>
      <w:tr>
        <w:tc>
          <w:tcPr>
            <w:tcW w:w="4819" w:type="dxa"/>
          </w:tcPr>
          <w:p>
            <w:pPr>
              <w:pStyle w:val="0"/>
            </w:pPr>
            <w:r>
              <w:rPr>
                <w:sz w:val="20"/>
              </w:rPr>
              <w:t xml:space="preserve">Павильоны по оказанию услуг торговли</w:t>
            </w:r>
          </w:p>
        </w:tc>
        <w:tc>
          <w:tcPr>
            <w:tcW w:w="3005" w:type="dxa"/>
          </w:tcPr>
          <w:p>
            <w:pPr>
              <w:pStyle w:val="0"/>
              <w:jc w:val="right"/>
            </w:pPr>
            <w:r>
              <w:rPr>
                <w:sz w:val="20"/>
              </w:rPr>
              <w:t xml:space="preserve">10</w:t>
            </w:r>
          </w:p>
        </w:tc>
      </w:tr>
      <w:tr>
        <w:tblPrEx>
          <w:tblBorders>
            <w:insideH w:val="nil"/>
          </w:tblBorders>
        </w:tblPrEx>
        <w:tc>
          <w:tcPr>
            <w:tcW w:w="4819" w:type="dxa"/>
            <w:tcBorders>
              <w:bottom w:val="nil"/>
            </w:tcBorders>
          </w:tcPr>
          <w:p>
            <w:pPr>
              <w:pStyle w:val="0"/>
            </w:pPr>
            <w:r>
              <w:rPr>
                <w:sz w:val="20"/>
              </w:rPr>
              <w:t xml:space="preserve">Павильоны по продаже продукции крестьянских фермерских хозяйств и организаций потребительской кооперации, являющихся субъектами малого и среднего предпринимательства</w:t>
            </w:r>
          </w:p>
        </w:tc>
        <w:tc>
          <w:tcPr>
            <w:tcW w:w="3005" w:type="dxa"/>
            <w:tcBorders>
              <w:bottom w:val="nil"/>
            </w:tcBorders>
          </w:tcPr>
          <w:p>
            <w:pPr>
              <w:pStyle w:val="0"/>
              <w:jc w:val="right"/>
            </w:pPr>
            <w:r>
              <w:rPr>
                <w:sz w:val="20"/>
              </w:rPr>
              <w:t xml:space="preserve">0,0</w:t>
            </w:r>
          </w:p>
        </w:tc>
      </w:tr>
      <w:tr>
        <w:tblPrEx>
          <w:tblBorders>
            <w:insideH w:val="nil"/>
          </w:tblBorders>
        </w:tblPrEx>
        <w:tc>
          <w:tcPr>
            <w:gridSpan w:val="2"/>
            <w:tcW w:w="7824" w:type="dxa"/>
            <w:tcBorders>
              <w:top w:val="nil"/>
            </w:tcBorders>
          </w:tcPr>
          <w:p>
            <w:pPr>
              <w:pStyle w:val="0"/>
              <w:jc w:val="both"/>
            </w:pPr>
            <w:r>
              <w:rPr>
                <w:sz w:val="20"/>
              </w:rPr>
              <w:t xml:space="preserve">(позиция в ред. </w:t>
            </w:r>
            <w:hyperlink w:history="0" r:id="rId49" w:tooltip="Постановление администрации Находкинского городского округа от 27.10.2021 N 1097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Постановления</w:t>
              </w:r>
            </w:hyperlink>
            <w:r>
              <w:rPr>
                <w:sz w:val="20"/>
              </w:rPr>
              <w:t xml:space="preserve"> администрации Находкинского городского округа от 27.10.2021 N 1097)</w:t>
            </w:r>
          </w:p>
        </w:tc>
      </w:tr>
      <w:tr>
        <w:tc>
          <w:tcPr>
            <w:tcW w:w="4819" w:type="dxa"/>
          </w:tcPr>
          <w:p>
            <w:pPr>
              <w:pStyle w:val="0"/>
            </w:pPr>
            <w:r>
              <w:rPr>
                <w:sz w:val="20"/>
              </w:rPr>
              <w:t xml:space="preserve">Розничная торговля с лотков, автолавок, палаток (хвойные деревья, цветы, мороженое и т.д.)</w:t>
            </w:r>
          </w:p>
        </w:tc>
        <w:tc>
          <w:tcPr>
            <w:tcW w:w="3005" w:type="dxa"/>
          </w:tcPr>
          <w:p>
            <w:pPr>
              <w:pStyle w:val="0"/>
              <w:jc w:val="right"/>
            </w:pPr>
            <w:r>
              <w:rPr>
                <w:sz w:val="20"/>
              </w:rPr>
              <w:t xml:space="preserve">15,5</w:t>
            </w:r>
          </w:p>
        </w:tc>
      </w:tr>
    </w:tbl>
    <w:p>
      <w:pPr>
        <w:pStyle w:val="0"/>
        <w:jc w:val="both"/>
      </w:pPr>
      <w:r>
        <w:rPr>
          <w:sz w:val="20"/>
        </w:rPr>
      </w:r>
    </w:p>
    <w:p>
      <w:pPr>
        <w:pStyle w:val="2"/>
        <w:outlineLvl w:val="2"/>
        <w:jc w:val="center"/>
      </w:pPr>
      <w:r>
        <w:rPr>
          <w:sz w:val="20"/>
        </w:rPr>
        <w:t xml:space="preserve">Таблица</w:t>
      </w:r>
    </w:p>
    <w:p>
      <w:pPr>
        <w:pStyle w:val="2"/>
        <w:jc w:val="center"/>
      </w:pPr>
      <w:r>
        <w:rPr>
          <w:sz w:val="20"/>
        </w:rPr>
        <w:t xml:space="preserve">значений коэффициентов территориального размещения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19"/>
        <w:gridCol w:w="3005"/>
      </w:tblGrid>
      <w:tr>
        <w:tc>
          <w:tcPr>
            <w:tcW w:w="4819" w:type="dxa"/>
          </w:tcPr>
          <w:p>
            <w:pPr>
              <w:pStyle w:val="0"/>
              <w:jc w:val="center"/>
            </w:pPr>
            <w:r>
              <w:rPr>
                <w:sz w:val="20"/>
              </w:rPr>
              <w:t xml:space="preserve">Виды территориального размещения нестационарного торгового объекта</w:t>
            </w:r>
          </w:p>
        </w:tc>
        <w:tc>
          <w:tcPr>
            <w:tcW w:w="3005" w:type="dxa"/>
          </w:tcPr>
          <w:p>
            <w:pPr>
              <w:pStyle w:val="0"/>
              <w:jc w:val="center"/>
            </w:pPr>
            <w:r>
              <w:rPr>
                <w:sz w:val="20"/>
              </w:rPr>
              <w:t xml:space="preserve">Значение коэффициента функционального использования (Кт)</w:t>
            </w:r>
          </w:p>
        </w:tc>
      </w:tr>
      <w:tr>
        <w:tc>
          <w:tcPr>
            <w:tcW w:w="4819" w:type="dxa"/>
          </w:tcPr>
          <w:p>
            <w:pPr>
              <w:pStyle w:val="0"/>
            </w:pPr>
            <w:r>
              <w:rPr>
                <w:sz w:val="20"/>
              </w:rPr>
              <w:t xml:space="preserve">Находка</w:t>
            </w:r>
          </w:p>
        </w:tc>
        <w:tc>
          <w:tcPr>
            <w:tcW w:w="3005" w:type="dxa"/>
          </w:tcPr>
          <w:p>
            <w:pPr>
              <w:pStyle w:val="0"/>
              <w:jc w:val="right"/>
            </w:pPr>
            <w:r>
              <w:rPr>
                <w:sz w:val="20"/>
              </w:rPr>
              <w:t xml:space="preserve">3</w:t>
            </w:r>
          </w:p>
        </w:tc>
      </w:tr>
      <w:tr>
        <w:tc>
          <w:tcPr>
            <w:tcW w:w="4819" w:type="dxa"/>
          </w:tcPr>
          <w:p>
            <w:pPr>
              <w:pStyle w:val="0"/>
            </w:pPr>
            <w:r>
              <w:rPr>
                <w:sz w:val="20"/>
              </w:rPr>
              <w:t xml:space="preserve">Микрорайон "поселок Врангель"</w:t>
            </w:r>
          </w:p>
        </w:tc>
        <w:tc>
          <w:tcPr>
            <w:tcW w:w="3005" w:type="dxa"/>
          </w:tcPr>
          <w:p>
            <w:pPr>
              <w:pStyle w:val="0"/>
              <w:jc w:val="right"/>
            </w:pPr>
            <w:r>
              <w:rPr>
                <w:sz w:val="20"/>
              </w:rPr>
              <w:t xml:space="preserve">2,9</w:t>
            </w:r>
          </w:p>
        </w:tc>
      </w:tr>
      <w:tr>
        <w:tc>
          <w:tcPr>
            <w:tcW w:w="4819" w:type="dxa"/>
          </w:tcPr>
          <w:p>
            <w:pPr>
              <w:pStyle w:val="0"/>
            </w:pPr>
            <w:r>
              <w:rPr>
                <w:sz w:val="20"/>
              </w:rPr>
              <w:t xml:space="preserve">Микрорайон "поселок Ливадия"</w:t>
            </w:r>
          </w:p>
        </w:tc>
        <w:tc>
          <w:tcPr>
            <w:tcW w:w="3005" w:type="dxa"/>
          </w:tcPr>
          <w:p>
            <w:pPr>
              <w:pStyle w:val="0"/>
              <w:jc w:val="right"/>
            </w:pPr>
            <w:r>
              <w:rPr>
                <w:sz w:val="20"/>
              </w:rPr>
              <w:t xml:space="preserve">2,8</w:t>
            </w:r>
          </w:p>
        </w:tc>
      </w:tr>
      <w:tr>
        <w:tc>
          <w:tcPr>
            <w:tcW w:w="4819" w:type="dxa"/>
          </w:tcPr>
          <w:p>
            <w:pPr>
              <w:pStyle w:val="0"/>
            </w:pPr>
            <w:r>
              <w:rPr>
                <w:sz w:val="20"/>
              </w:rPr>
              <w:t xml:space="preserve">Поселок Береговой, села Анна и Душкино</w:t>
            </w:r>
          </w:p>
        </w:tc>
        <w:tc>
          <w:tcPr>
            <w:tcW w:w="3005" w:type="dxa"/>
          </w:tcPr>
          <w:p>
            <w:pPr>
              <w:pStyle w:val="0"/>
              <w:jc w:val="right"/>
            </w:pPr>
            <w:r>
              <w:rPr>
                <w:sz w:val="20"/>
              </w:rPr>
              <w:t xml:space="preserve">2,7</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от 12.04.2019 N 619</w:t>
      </w:r>
    </w:p>
    <w:p>
      <w:pPr>
        <w:pStyle w:val="0"/>
        <w:jc w:val="both"/>
      </w:pPr>
      <w:r>
        <w:rPr>
          <w:sz w:val="20"/>
        </w:rPr>
      </w:r>
    </w:p>
    <w:bookmarkStart w:id="210" w:name="P210"/>
    <w:bookmarkEnd w:id="210"/>
    <w:p>
      <w:pPr>
        <w:pStyle w:val="2"/>
        <w:jc w:val="center"/>
      </w:pPr>
      <w:r>
        <w:rPr>
          <w:sz w:val="20"/>
        </w:rPr>
        <w:t xml:space="preserve">МЕТОДИКА</w:t>
      </w:r>
    </w:p>
    <w:p>
      <w:pPr>
        <w:pStyle w:val="2"/>
        <w:jc w:val="center"/>
      </w:pPr>
      <w:r>
        <w:rPr>
          <w:sz w:val="20"/>
        </w:rPr>
        <w:t xml:space="preserve">РАСЧЕТА ПЛАТЫ ЗА РАЗМЕЩЕНИЕ НЕСТАЦИОНАРНОГО ТОРГОВОГО</w:t>
      </w:r>
    </w:p>
    <w:p>
      <w:pPr>
        <w:pStyle w:val="2"/>
        <w:jc w:val="center"/>
      </w:pPr>
      <w:r>
        <w:rPr>
          <w:sz w:val="20"/>
        </w:rPr>
        <w:t xml:space="preserve">ОБЪЕКТА НА ТЕРРИТОРИИ НАХОДКИНСКОГО ГОРОДСКОГО ОКРУГА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w:t>
            </w:r>
          </w:p>
          <w:p>
            <w:pPr>
              <w:pStyle w:val="0"/>
              <w:jc w:val="center"/>
            </w:pPr>
            <w:r>
              <w:rPr>
                <w:sz w:val="20"/>
                <w:color w:val="392c69"/>
              </w:rPr>
              <w:t xml:space="preserve">Находкинского городского округа</w:t>
            </w:r>
          </w:p>
          <w:p>
            <w:pPr>
              <w:pStyle w:val="0"/>
              <w:jc w:val="center"/>
            </w:pPr>
            <w:r>
              <w:rPr>
                <w:sz w:val="20"/>
                <w:color w:val="392c69"/>
              </w:rPr>
              <w:t xml:space="preserve">от 28.04.2020 </w:t>
            </w:r>
            <w:hyperlink w:history="0" r:id="rId50" w:tooltip="Постановление администрации Находкинского городского округа от 28.04.2020 N 589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N 589</w:t>
              </w:r>
            </w:hyperlink>
            <w:r>
              <w:rPr>
                <w:sz w:val="20"/>
                <w:color w:val="392c69"/>
              </w:rPr>
              <w:t xml:space="preserve">, от 08.04.2021 </w:t>
            </w:r>
            <w:hyperlink w:history="0" r:id="rId51" w:tooltip="Постановление администрации Находкинского городского округа от 08.04.2021 N 388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N 388</w:t>
              </w:r>
            </w:hyperlink>
            <w:r>
              <w:rPr>
                <w:sz w:val="20"/>
                <w:color w:val="392c69"/>
              </w:rPr>
              <w:t xml:space="preserve">,</w:t>
            </w:r>
          </w:p>
          <w:p>
            <w:pPr>
              <w:pStyle w:val="0"/>
              <w:jc w:val="center"/>
            </w:pPr>
            <w:r>
              <w:rPr>
                <w:sz w:val="20"/>
                <w:color w:val="392c69"/>
              </w:rPr>
              <w:t xml:space="preserve">от 27.10.2021 </w:t>
            </w:r>
            <w:hyperlink w:history="0" r:id="rId52" w:tooltip="Постановление администрации Находкинского городского округа от 27.10.2021 N 1097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N 1097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Настоящая Методика расчета платы за размещение нестационарного торгового объекта на территории Находкинского городского округа (далее - Методика) разработана во исполнение </w:t>
      </w:r>
      <w:hyperlink w:history="0" r:id="rId53" w:tooltip="Постановление Администрации Приморского края от 17.04.2018 N 171-па (ред. от 01.04.2024) &quot;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quot; {КонсультантПлюс}">
        <w:r>
          <w:rPr>
            <w:sz w:val="20"/>
            <w:color w:val="0000ff"/>
          </w:rPr>
          <w:t xml:space="preserve">постановления</w:t>
        </w:r>
      </w:hyperlink>
      <w:r>
        <w:rPr>
          <w:sz w:val="20"/>
        </w:rPr>
        <w:t xml:space="preserve"> Администрации Приморского края от 17.04.2018 N 171-па "Об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w:t>
      </w:r>
    </w:p>
    <w:p>
      <w:pPr>
        <w:pStyle w:val="0"/>
        <w:jc w:val="both"/>
      </w:pPr>
      <w:r>
        <w:rPr>
          <w:sz w:val="20"/>
        </w:rPr>
      </w:r>
    </w:p>
    <w:p>
      <w:pPr>
        <w:pStyle w:val="2"/>
        <w:outlineLvl w:val="1"/>
        <w:jc w:val="center"/>
      </w:pPr>
      <w:r>
        <w:rPr>
          <w:sz w:val="20"/>
        </w:rPr>
        <w:t xml:space="preserve">2. Порядок определения размера платы</w:t>
      </w:r>
    </w:p>
    <w:p>
      <w:pPr>
        <w:pStyle w:val="2"/>
        <w:jc w:val="center"/>
      </w:pPr>
      <w:r>
        <w:rPr>
          <w:sz w:val="20"/>
        </w:rPr>
        <w:t xml:space="preserve">за размещение хозяйствующего субъекта в схему размещения</w:t>
      </w:r>
    </w:p>
    <w:p>
      <w:pPr>
        <w:pStyle w:val="2"/>
        <w:jc w:val="center"/>
      </w:pPr>
      <w:r>
        <w:rPr>
          <w:sz w:val="20"/>
        </w:rPr>
        <w:t xml:space="preserve">нестационарных торговых объектов на территории</w:t>
      </w:r>
    </w:p>
    <w:p>
      <w:pPr>
        <w:pStyle w:val="2"/>
        <w:jc w:val="center"/>
      </w:pPr>
      <w:r>
        <w:rPr>
          <w:sz w:val="20"/>
        </w:rPr>
        <w:t xml:space="preserve">Находкинского городского округа</w:t>
      </w:r>
    </w:p>
    <w:p>
      <w:pPr>
        <w:pStyle w:val="0"/>
        <w:jc w:val="both"/>
      </w:pPr>
      <w:r>
        <w:rPr>
          <w:sz w:val="20"/>
        </w:rPr>
      </w:r>
    </w:p>
    <w:p>
      <w:pPr>
        <w:pStyle w:val="0"/>
        <w:ind w:firstLine="540"/>
        <w:jc w:val="both"/>
      </w:pPr>
      <w:r>
        <w:rPr>
          <w:sz w:val="20"/>
        </w:rPr>
        <w:t xml:space="preserve">2.1. Плата за размещение нестационарного торгового объекта на территории Находкинского городского округа (далее - плата за размещение) устанавливается исходя из следующих критериев:</w:t>
      </w:r>
    </w:p>
    <w:p>
      <w:pPr>
        <w:pStyle w:val="0"/>
        <w:spacing w:before="200" w:line-rule="auto"/>
        <w:ind w:firstLine="540"/>
        <w:jc w:val="both"/>
      </w:pPr>
      <w:r>
        <w:rPr>
          <w:sz w:val="20"/>
        </w:rPr>
        <w:t xml:space="preserve">- периода включения хозяйствующего субъекта в схему размещения нестационарных торговых объектов на территории Находкинского городского округа (далее - Схема);</w:t>
      </w:r>
    </w:p>
    <w:p>
      <w:pPr>
        <w:pStyle w:val="0"/>
        <w:spacing w:before="200" w:line-rule="auto"/>
        <w:ind w:firstLine="540"/>
        <w:jc w:val="both"/>
      </w:pPr>
      <w:r>
        <w:rPr>
          <w:sz w:val="20"/>
        </w:rPr>
        <w:t xml:space="preserve">- площади нестационарного торгового объекта;</w:t>
      </w:r>
    </w:p>
    <w:p>
      <w:pPr>
        <w:pStyle w:val="0"/>
        <w:spacing w:before="200" w:line-rule="auto"/>
        <w:ind w:firstLine="540"/>
        <w:jc w:val="both"/>
      </w:pPr>
      <w:r>
        <w:rPr>
          <w:sz w:val="20"/>
        </w:rPr>
        <w:t xml:space="preserve">- среднего значения удельного показателя кадастровой стоимости земельных участков Находкинского городского округа из расчета 5-го вида разрешенного использования;</w:t>
      </w:r>
    </w:p>
    <w:p>
      <w:pPr>
        <w:pStyle w:val="0"/>
        <w:spacing w:before="200" w:line-rule="auto"/>
        <w:ind w:firstLine="540"/>
        <w:jc w:val="both"/>
      </w:pPr>
      <w:r>
        <w:rPr>
          <w:sz w:val="20"/>
        </w:rPr>
        <w:t xml:space="preserve">- ставки земельного налога;</w:t>
      </w:r>
    </w:p>
    <w:p>
      <w:pPr>
        <w:pStyle w:val="0"/>
        <w:spacing w:before="200" w:line-rule="auto"/>
        <w:ind w:firstLine="540"/>
        <w:jc w:val="both"/>
      </w:pPr>
      <w:r>
        <w:rPr>
          <w:sz w:val="20"/>
        </w:rPr>
        <w:t xml:space="preserve">- коэффициента функционального использования;</w:t>
      </w:r>
    </w:p>
    <w:p>
      <w:pPr>
        <w:pStyle w:val="0"/>
        <w:spacing w:before="200" w:line-rule="auto"/>
        <w:ind w:firstLine="540"/>
        <w:jc w:val="both"/>
      </w:pPr>
      <w:r>
        <w:rPr>
          <w:sz w:val="20"/>
        </w:rPr>
        <w:t xml:space="preserve">- коэффициента территориального размещения.</w:t>
      </w:r>
    </w:p>
    <w:p>
      <w:pPr>
        <w:pStyle w:val="0"/>
        <w:spacing w:before="200" w:line-rule="auto"/>
        <w:ind w:firstLine="540"/>
        <w:jc w:val="both"/>
      </w:pPr>
      <w:r>
        <w:rPr>
          <w:sz w:val="20"/>
        </w:rPr>
        <w:t xml:space="preserve">2.2. Размер ежегодной платы за размещение определяется по следующей формуле:</w:t>
      </w:r>
    </w:p>
    <w:p>
      <w:pPr>
        <w:pStyle w:val="0"/>
        <w:jc w:val="both"/>
      </w:pPr>
      <w:r>
        <w:rPr>
          <w:sz w:val="20"/>
        </w:rPr>
      </w:r>
    </w:p>
    <w:p>
      <w:pPr>
        <w:pStyle w:val="0"/>
        <w:ind w:firstLine="540"/>
        <w:jc w:val="both"/>
      </w:pPr>
      <w:r>
        <w:rPr>
          <w:sz w:val="20"/>
        </w:rPr>
        <w:t xml:space="preserve">П = (Скд x Сзн x Кфи x Sнто x Кт) / 12 x Т, где:</w:t>
      </w:r>
    </w:p>
    <w:p>
      <w:pPr>
        <w:pStyle w:val="0"/>
        <w:jc w:val="both"/>
      </w:pPr>
      <w:r>
        <w:rPr>
          <w:sz w:val="20"/>
        </w:rPr>
      </w:r>
    </w:p>
    <w:p>
      <w:pPr>
        <w:pStyle w:val="0"/>
        <w:ind w:firstLine="540"/>
        <w:jc w:val="both"/>
      </w:pPr>
      <w:r>
        <w:rPr>
          <w:sz w:val="20"/>
        </w:rPr>
        <w:t xml:space="preserve">П - размер платы за размещение хозяйствующего субъекта;</w:t>
      </w:r>
    </w:p>
    <w:p>
      <w:pPr>
        <w:pStyle w:val="0"/>
        <w:jc w:val="both"/>
      </w:pPr>
      <w:r>
        <w:rPr>
          <w:sz w:val="20"/>
        </w:rPr>
        <w:t xml:space="preserve">(в ред. </w:t>
      </w:r>
      <w:hyperlink w:history="0" r:id="rId54" w:tooltip="Постановление администрации Находкинского городского округа от 27.10.2021 N 1097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Постановления</w:t>
        </w:r>
      </w:hyperlink>
      <w:r>
        <w:rPr>
          <w:sz w:val="20"/>
        </w:rPr>
        <w:t xml:space="preserve"> администрации Находкинского городского округа от 27.10.2021 N 1097)</w:t>
      </w:r>
    </w:p>
    <w:p>
      <w:pPr>
        <w:pStyle w:val="0"/>
        <w:spacing w:before="200" w:line-rule="auto"/>
        <w:ind w:firstLine="540"/>
        <w:jc w:val="both"/>
      </w:pPr>
      <w:r>
        <w:rPr>
          <w:sz w:val="20"/>
        </w:rPr>
        <w:t xml:space="preserve">Скд - среднее значение удельного показателя кадастровой стоимости земельных участков Находкинского городского округа из расчета 5-го вида разрешенного использования;</w:t>
      </w:r>
    </w:p>
    <w:p>
      <w:pPr>
        <w:pStyle w:val="0"/>
        <w:spacing w:before="200" w:line-rule="auto"/>
        <w:ind w:firstLine="540"/>
        <w:jc w:val="both"/>
      </w:pPr>
      <w:r>
        <w:rPr>
          <w:sz w:val="20"/>
        </w:rPr>
        <w:t xml:space="preserve">Сзн - ставка земельного налога;</w:t>
      </w:r>
    </w:p>
    <w:p>
      <w:pPr>
        <w:pStyle w:val="0"/>
        <w:spacing w:before="200" w:line-rule="auto"/>
        <w:ind w:firstLine="540"/>
        <w:jc w:val="both"/>
      </w:pPr>
      <w:r>
        <w:rPr>
          <w:sz w:val="20"/>
        </w:rPr>
        <w:t xml:space="preserve">Кфи - коэффициент функционального использования;</w:t>
      </w:r>
    </w:p>
    <w:p>
      <w:pPr>
        <w:pStyle w:val="0"/>
        <w:spacing w:before="200" w:line-rule="auto"/>
        <w:ind w:firstLine="540"/>
        <w:jc w:val="both"/>
      </w:pPr>
      <w:r>
        <w:rPr>
          <w:sz w:val="20"/>
        </w:rPr>
        <w:t xml:space="preserve">Sнто - площадь нестационарного торгового объекта;</w:t>
      </w:r>
    </w:p>
    <w:p>
      <w:pPr>
        <w:pStyle w:val="0"/>
        <w:spacing w:before="200" w:line-rule="auto"/>
        <w:ind w:firstLine="540"/>
        <w:jc w:val="both"/>
      </w:pPr>
      <w:r>
        <w:rPr>
          <w:sz w:val="20"/>
        </w:rPr>
        <w:t xml:space="preserve">Кт - коэффициент территориального размещения;</w:t>
      </w:r>
    </w:p>
    <w:p>
      <w:pPr>
        <w:pStyle w:val="0"/>
        <w:spacing w:before="200" w:line-rule="auto"/>
        <w:ind w:firstLine="540"/>
        <w:jc w:val="both"/>
      </w:pPr>
      <w:r>
        <w:rPr>
          <w:sz w:val="20"/>
        </w:rPr>
        <w:t xml:space="preserve">Т - период, на который включается хозяйствующий субъект в Схему, мес.</w:t>
      </w:r>
    </w:p>
    <w:p>
      <w:pPr>
        <w:pStyle w:val="0"/>
        <w:spacing w:before="200" w:line-rule="auto"/>
        <w:ind w:firstLine="540"/>
        <w:jc w:val="both"/>
      </w:pPr>
      <w:r>
        <w:rPr>
          <w:sz w:val="20"/>
        </w:rPr>
        <w:t xml:space="preserve">2.3. Среднее значение удельного показателя кадастровой стоимости земельных участков Находкинского городского округа из расчета 5-го вида разрешенного использования устанавливается нормативным правовым актом органа исполнительной власти Приморского края.</w:t>
      </w:r>
    </w:p>
    <w:p>
      <w:pPr>
        <w:pStyle w:val="0"/>
        <w:spacing w:before="200" w:line-rule="auto"/>
        <w:ind w:firstLine="540"/>
        <w:jc w:val="both"/>
      </w:pPr>
      <w:r>
        <w:rPr>
          <w:sz w:val="20"/>
        </w:rPr>
        <w:t xml:space="preserve">2.4. Ставка земельного налога устанавливается решением Думы Находкинского городского округа.</w:t>
      </w:r>
    </w:p>
    <w:p>
      <w:pPr>
        <w:pStyle w:val="0"/>
        <w:jc w:val="both"/>
      </w:pPr>
      <w:r>
        <w:rPr>
          <w:sz w:val="20"/>
        </w:rPr>
        <w:t xml:space="preserve">(п. 2.4 в ред. </w:t>
      </w:r>
      <w:hyperlink w:history="0" r:id="rId55" w:tooltip="Постановление администрации Находкинского городского округа от 28.04.2020 N 589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Постановления</w:t>
        </w:r>
      </w:hyperlink>
      <w:r>
        <w:rPr>
          <w:sz w:val="20"/>
        </w:rPr>
        <w:t xml:space="preserve"> администрации Находкинского городского округа от 28.04.2020 N 589)</w:t>
      </w:r>
    </w:p>
    <w:p>
      <w:pPr>
        <w:pStyle w:val="0"/>
        <w:spacing w:before="200" w:line-rule="auto"/>
        <w:ind w:firstLine="540"/>
        <w:jc w:val="both"/>
      </w:pPr>
      <w:r>
        <w:rPr>
          <w:sz w:val="20"/>
        </w:rPr>
        <w:t xml:space="preserve">2.5. Коэффициент функционального использования (Кфи) и коэффициент территориального размещения (Кт) применяются в соответствии с настоящей Методикой.</w:t>
      </w:r>
    </w:p>
    <w:p>
      <w:pPr>
        <w:pStyle w:val="0"/>
        <w:spacing w:before="200" w:line-rule="auto"/>
        <w:ind w:firstLine="540"/>
        <w:jc w:val="both"/>
      </w:pPr>
      <w:r>
        <w:rPr>
          <w:sz w:val="20"/>
        </w:rPr>
        <w:t xml:space="preserve">2.6. В случае заключения соглашения о размещении нестационарного торгового объекта на территории Находкинского городского округа (далее - Соглашение):</w:t>
      </w:r>
    </w:p>
    <w:p>
      <w:pPr>
        <w:pStyle w:val="0"/>
        <w:spacing w:before="200" w:line-rule="auto"/>
        <w:ind w:firstLine="540"/>
        <w:jc w:val="both"/>
      </w:pPr>
      <w:r>
        <w:rPr>
          <w:sz w:val="20"/>
        </w:rPr>
        <w:t xml:space="preserve">- сроком более 15 дней, но менее 1 месяца - плата за размещение рассчитывается за 1 месяц;</w:t>
      </w:r>
    </w:p>
    <w:p>
      <w:pPr>
        <w:pStyle w:val="0"/>
        <w:spacing w:before="200" w:line-rule="auto"/>
        <w:ind w:firstLine="540"/>
        <w:jc w:val="both"/>
      </w:pPr>
      <w:r>
        <w:rPr>
          <w:sz w:val="20"/>
        </w:rPr>
        <w:t xml:space="preserve">- сроком менее 15 дней - плата за размещение рассчитывается за 1/2 месяца.</w:t>
      </w:r>
    </w:p>
    <w:p>
      <w:pPr>
        <w:pStyle w:val="0"/>
        <w:spacing w:before="200" w:line-rule="auto"/>
        <w:ind w:firstLine="540"/>
        <w:jc w:val="both"/>
      </w:pPr>
      <w:r>
        <w:rPr>
          <w:sz w:val="20"/>
        </w:rPr>
        <w:t xml:space="preserve">Размер платы за размещение, определенный Соглашением, может пересматриваться не более одного раза в год в соответствии с индексом потребительских цен Приморского края по соответствующему году, устанавливаемых Федеральной службой государственной статистики территориального органа Федеральной службы государственной статистики по Приморскому краю.</w:t>
      </w:r>
    </w:p>
    <w:p>
      <w:pPr>
        <w:pStyle w:val="0"/>
        <w:spacing w:before="200" w:line-rule="auto"/>
        <w:ind w:firstLine="540"/>
        <w:jc w:val="both"/>
      </w:pPr>
      <w:r>
        <w:rPr>
          <w:sz w:val="20"/>
        </w:rPr>
        <w:t xml:space="preserve">2.7. При невнесении платы за размещение в установленные Соглашением сроки начисляется пеня в размере 1/300 (одной трехсотой) ставки рефинансирования, действующей на дату возникновения просрочки платежа, установленной Центральным банком Российской Федерации, в перерасчете за каждый день просрочки от общей суммы задолженности.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Методике</w:t>
      </w:r>
    </w:p>
    <w:p>
      <w:pPr>
        <w:pStyle w:val="0"/>
        <w:jc w:val="right"/>
      </w:pPr>
      <w:r>
        <w:rPr>
          <w:sz w:val="20"/>
        </w:rPr>
        <w:t xml:space="preserve">расчета платы за</w:t>
      </w:r>
    </w:p>
    <w:p>
      <w:pPr>
        <w:pStyle w:val="0"/>
        <w:jc w:val="right"/>
      </w:pPr>
      <w:r>
        <w:rPr>
          <w:sz w:val="20"/>
        </w:rPr>
        <w:t xml:space="preserve">размещение нестационарного</w:t>
      </w:r>
    </w:p>
    <w:p>
      <w:pPr>
        <w:pStyle w:val="0"/>
        <w:jc w:val="right"/>
      </w:pPr>
      <w:r>
        <w:rPr>
          <w:sz w:val="20"/>
        </w:rPr>
        <w:t xml:space="preserve">торгового объекта на</w:t>
      </w:r>
    </w:p>
    <w:p>
      <w:pPr>
        <w:pStyle w:val="0"/>
        <w:jc w:val="right"/>
      </w:pPr>
      <w:r>
        <w:rPr>
          <w:sz w:val="20"/>
        </w:rPr>
        <w:t xml:space="preserve">территории Находкинского</w:t>
      </w:r>
    </w:p>
    <w:p>
      <w:pPr>
        <w:pStyle w:val="0"/>
        <w:jc w:val="right"/>
      </w:pPr>
      <w:r>
        <w:rPr>
          <w:sz w:val="20"/>
        </w:rPr>
        <w:t xml:space="preserve">городского округа,</w:t>
      </w:r>
    </w:p>
    <w:p>
      <w:pPr>
        <w:pStyle w:val="0"/>
        <w:jc w:val="right"/>
      </w:pPr>
      <w:r>
        <w:rPr>
          <w:sz w:val="20"/>
        </w:rPr>
        <w:t xml:space="preserve">утвержденной</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Находкинского</w:t>
      </w:r>
    </w:p>
    <w:p>
      <w:pPr>
        <w:pStyle w:val="0"/>
        <w:jc w:val="right"/>
      </w:pPr>
      <w:r>
        <w:rPr>
          <w:sz w:val="20"/>
        </w:rPr>
        <w:t xml:space="preserve">городского округа</w:t>
      </w:r>
    </w:p>
    <w:p>
      <w:pPr>
        <w:pStyle w:val="0"/>
        <w:jc w:val="right"/>
      </w:pPr>
      <w:r>
        <w:rPr>
          <w:sz w:val="20"/>
        </w:rPr>
        <w:t xml:space="preserve">от 12.04.2019 N 619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w:t>
            </w:r>
          </w:p>
          <w:p>
            <w:pPr>
              <w:pStyle w:val="0"/>
              <w:jc w:val="center"/>
            </w:pPr>
            <w:r>
              <w:rPr>
                <w:sz w:val="20"/>
                <w:color w:val="392c69"/>
              </w:rPr>
              <w:t xml:space="preserve">Находкинского городского округа</w:t>
            </w:r>
          </w:p>
          <w:p>
            <w:pPr>
              <w:pStyle w:val="0"/>
              <w:jc w:val="center"/>
            </w:pPr>
            <w:r>
              <w:rPr>
                <w:sz w:val="20"/>
                <w:color w:val="392c69"/>
              </w:rPr>
              <w:t xml:space="preserve">от 08.04.2021 </w:t>
            </w:r>
            <w:hyperlink w:history="0" r:id="rId56" w:tooltip="Постановление администрации Находкинского городского округа от 08.04.2021 N 388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N 388</w:t>
              </w:r>
            </w:hyperlink>
            <w:r>
              <w:rPr>
                <w:sz w:val="20"/>
                <w:color w:val="392c69"/>
              </w:rPr>
              <w:t xml:space="preserve">, от 27.10.2021 </w:t>
            </w:r>
            <w:hyperlink w:history="0" r:id="rId57" w:tooltip="Постановление администрации Находкинского городского округа от 27.10.2021 N 1097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N 1097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jc w:val="center"/>
      </w:pPr>
      <w:r>
        <w:rPr>
          <w:sz w:val="20"/>
        </w:rPr>
        <w:t xml:space="preserve">Таблица значений коэффициентов,</w:t>
      </w:r>
    </w:p>
    <w:p>
      <w:pPr>
        <w:pStyle w:val="2"/>
        <w:jc w:val="center"/>
      </w:pPr>
      <w:r>
        <w:rPr>
          <w:sz w:val="20"/>
        </w:rPr>
        <w:t xml:space="preserve">учитывающих площадь нестационарного торгового объекта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19"/>
        <w:gridCol w:w="3005"/>
      </w:tblGrid>
      <w:tr>
        <w:tc>
          <w:tcPr>
            <w:tcW w:w="4819" w:type="dxa"/>
          </w:tcPr>
          <w:p>
            <w:pPr>
              <w:pStyle w:val="0"/>
              <w:jc w:val="center"/>
            </w:pPr>
            <w:r>
              <w:rPr>
                <w:sz w:val="20"/>
              </w:rPr>
              <w:t xml:space="preserve">Виды функционального использования нестационарного торгового объекта</w:t>
            </w:r>
          </w:p>
        </w:tc>
        <w:tc>
          <w:tcPr>
            <w:tcW w:w="3005" w:type="dxa"/>
          </w:tcPr>
          <w:p>
            <w:pPr>
              <w:pStyle w:val="0"/>
              <w:jc w:val="center"/>
            </w:pPr>
            <w:r>
              <w:rPr>
                <w:sz w:val="20"/>
              </w:rPr>
              <w:t xml:space="preserve">Значение коэффициента, учитывающего площадь нестационарного торгового объекта (Кфи)</w:t>
            </w:r>
          </w:p>
        </w:tc>
      </w:tr>
      <w:tr>
        <w:tc>
          <w:tcPr>
            <w:tcW w:w="4819" w:type="dxa"/>
          </w:tcPr>
          <w:p>
            <w:pPr>
              <w:pStyle w:val="0"/>
            </w:pPr>
            <w:r>
              <w:rPr>
                <w:sz w:val="20"/>
              </w:rPr>
              <w:t xml:space="preserve">Киоски по продаже хлеба и хлебобулочных изделий</w:t>
            </w:r>
          </w:p>
        </w:tc>
        <w:tc>
          <w:tcPr>
            <w:tcW w:w="3005" w:type="dxa"/>
          </w:tcPr>
          <w:p>
            <w:pPr>
              <w:pStyle w:val="0"/>
              <w:jc w:val="right"/>
            </w:pPr>
            <w:r>
              <w:rPr>
                <w:sz w:val="20"/>
              </w:rPr>
              <w:t xml:space="preserve">9,9</w:t>
            </w:r>
          </w:p>
        </w:tc>
      </w:tr>
      <w:tr>
        <w:tc>
          <w:tcPr>
            <w:tcW w:w="4819" w:type="dxa"/>
          </w:tcPr>
          <w:p>
            <w:pPr>
              <w:pStyle w:val="0"/>
            </w:pPr>
            <w:r>
              <w:rPr>
                <w:sz w:val="20"/>
              </w:rPr>
              <w:t xml:space="preserve">Киоски по продаже печатной продукции и спортлото</w:t>
            </w:r>
          </w:p>
        </w:tc>
        <w:tc>
          <w:tcPr>
            <w:tcW w:w="3005" w:type="dxa"/>
          </w:tcPr>
          <w:p>
            <w:pPr>
              <w:pStyle w:val="0"/>
              <w:jc w:val="right"/>
            </w:pPr>
            <w:r>
              <w:rPr>
                <w:sz w:val="20"/>
              </w:rPr>
              <w:t xml:space="preserve">10</w:t>
            </w:r>
          </w:p>
        </w:tc>
      </w:tr>
      <w:tr>
        <w:tc>
          <w:tcPr>
            <w:tcW w:w="4819" w:type="dxa"/>
          </w:tcPr>
          <w:p>
            <w:pPr>
              <w:pStyle w:val="0"/>
            </w:pPr>
            <w:r>
              <w:rPr>
                <w:sz w:val="20"/>
              </w:rPr>
              <w:t xml:space="preserve">Киоски по оказанию услуг торговли прочей продукцией</w:t>
            </w:r>
          </w:p>
        </w:tc>
        <w:tc>
          <w:tcPr>
            <w:tcW w:w="3005" w:type="dxa"/>
          </w:tcPr>
          <w:p>
            <w:pPr>
              <w:pStyle w:val="0"/>
              <w:jc w:val="right"/>
            </w:pPr>
            <w:r>
              <w:rPr>
                <w:sz w:val="20"/>
              </w:rPr>
              <w:t xml:space="preserve">10,5</w:t>
            </w:r>
          </w:p>
        </w:tc>
      </w:tr>
      <w:tr>
        <w:tc>
          <w:tcPr>
            <w:tcW w:w="4819" w:type="dxa"/>
          </w:tcPr>
          <w:p>
            <w:pPr>
              <w:pStyle w:val="0"/>
            </w:pPr>
            <w:r>
              <w:rPr>
                <w:sz w:val="20"/>
              </w:rPr>
              <w:t xml:space="preserve">Павильоны по оказанию услуг торговли</w:t>
            </w:r>
          </w:p>
        </w:tc>
        <w:tc>
          <w:tcPr>
            <w:tcW w:w="3005" w:type="dxa"/>
          </w:tcPr>
          <w:p>
            <w:pPr>
              <w:pStyle w:val="0"/>
              <w:jc w:val="right"/>
            </w:pPr>
            <w:r>
              <w:rPr>
                <w:sz w:val="20"/>
              </w:rPr>
              <w:t xml:space="preserve">10</w:t>
            </w:r>
          </w:p>
        </w:tc>
      </w:tr>
      <w:tr>
        <w:tblPrEx>
          <w:tblBorders>
            <w:insideH w:val="nil"/>
          </w:tblBorders>
        </w:tblPrEx>
        <w:tc>
          <w:tcPr>
            <w:tcW w:w="4819" w:type="dxa"/>
            <w:tcBorders>
              <w:bottom w:val="nil"/>
            </w:tcBorders>
          </w:tcPr>
          <w:p>
            <w:pPr>
              <w:pStyle w:val="0"/>
            </w:pPr>
            <w:r>
              <w:rPr>
                <w:sz w:val="20"/>
              </w:rPr>
              <w:t xml:space="preserve">Павильоны по продаже продукции крестьянских фермерских хозяйств и организаций потребительской кооперации, являющихся субъектами малого и среднего предпринимательства</w:t>
            </w:r>
          </w:p>
        </w:tc>
        <w:tc>
          <w:tcPr>
            <w:tcW w:w="3005" w:type="dxa"/>
            <w:tcBorders>
              <w:bottom w:val="nil"/>
            </w:tcBorders>
          </w:tcPr>
          <w:p>
            <w:pPr>
              <w:pStyle w:val="0"/>
              <w:jc w:val="right"/>
            </w:pPr>
            <w:r>
              <w:rPr>
                <w:sz w:val="20"/>
              </w:rPr>
              <w:t xml:space="preserve">5,0</w:t>
            </w:r>
          </w:p>
        </w:tc>
      </w:tr>
      <w:tr>
        <w:tblPrEx>
          <w:tblBorders>
            <w:insideH w:val="nil"/>
          </w:tblBorders>
        </w:tblPrEx>
        <w:tc>
          <w:tcPr>
            <w:gridSpan w:val="2"/>
            <w:tcW w:w="7824" w:type="dxa"/>
            <w:tcBorders>
              <w:top w:val="nil"/>
            </w:tcBorders>
          </w:tcPr>
          <w:p>
            <w:pPr>
              <w:pStyle w:val="0"/>
              <w:jc w:val="both"/>
            </w:pPr>
            <w:r>
              <w:rPr>
                <w:sz w:val="20"/>
              </w:rPr>
              <w:t xml:space="preserve">(позиция в ред. </w:t>
            </w:r>
            <w:hyperlink w:history="0" r:id="rId58" w:tooltip="Постановление администрации Находкинского городского округа от 27.10.2021 N 1097 &quot;О внесении изменений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Постановления</w:t>
              </w:r>
            </w:hyperlink>
            <w:r>
              <w:rPr>
                <w:sz w:val="20"/>
              </w:rPr>
              <w:t xml:space="preserve"> администрации Находкинского городского округа от 27.10.2021 N 1097)</w:t>
            </w:r>
          </w:p>
        </w:tc>
      </w:tr>
      <w:tr>
        <w:tc>
          <w:tcPr>
            <w:tcW w:w="4819" w:type="dxa"/>
          </w:tcPr>
          <w:p>
            <w:pPr>
              <w:pStyle w:val="0"/>
            </w:pPr>
            <w:r>
              <w:rPr>
                <w:sz w:val="20"/>
              </w:rPr>
              <w:t xml:space="preserve">Розничная торговля с лотков, автолавок, палаток (хвойные деревья, цветы, мороженое и т.д.)</w:t>
            </w:r>
          </w:p>
        </w:tc>
        <w:tc>
          <w:tcPr>
            <w:tcW w:w="3005" w:type="dxa"/>
          </w:tcPr>
          <w:p>
            <w:pPr>
              <w:pStyle w:val="0"/>
              <w:jc w:val="right"/>
            </w:pPr>
            <w:r>
              <w:rPr>
                <w:sz w:val="20"/>
              </w:rPr>
              <w:t xml:space="preserve">15,5</w:t>
            </w:r>
          </w:p>
        </w:tc>
      </w:tr>
    </w:tbl>
    <w:p>
      <w:pPr>
        <w:pStyle w:val="0"/>
        <w:jc w:val="both"/>
      </w:pPr>
      <w:r>
        <w:rPr>
          <w:sz w:val="20"/>
        </w:rPr>
      </w:r>
    </w:p>
    <w:p>
      <w:pPr>
        <w:pStyle w:val="2"/>
        <w:outlineLvl w:val="2"/>
        <w:jc w:val="center"/>
      </w:pPr>
      <w:r>
        <w:rPr>
          <w:sz w:val="20"/>
        </w:rPr>
        <w:t xml:space="preserve">Таблица</w:t>
      </w:r>
    </w:p>
    <w:p>
      <w:pPr>
        <w:pStyle w:val="2"/>
        <w:jc w:val="center"/>
      </w:pPr>
      <w:r>
        <w:rPr>
          <w:sz w:val="20"/>
        </w:rPr>
        <w:t xml:space="preserve">значений коэффициентов территориального размещения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19"/>
        <w:gridCol w:w="3005"/>
      </w:tblGrid>
      <w:tr>
        <w:tc>
          <w:tcPr>
            <w:tcW w:w="4819" w:type="dxa"/>
          </w:tcPr>
          <w:p>
            <w:pPr>
              <w:pStyle w:val="0"/>
              <w:jc w:val="center"/>
            </w:pPr>
            <w:r>
              <w:rPr>
                <w:sz w:val="20"/>
              </w:rPr>
              <w:t xml:space="preserve">Виды территориального размещения нестационарного торгового объекта</w:t>
            </w:r>
          </w:p>
        </w:tc>
        <w:tc>
          <w:tcPr>
            <w:tcW w:w="3005" w:type="dxa"/>
          </w:tcPr>
          <w:p>
            <w:pPr>
              <w:pStyle w:val="0"/>
              <w:jc w:val="center"/>
            </w:pPr>
            <w:r>
              <w:rPr>
                <w:sz w:val="20"/>
              </w:rPr>
              <w:t xml:space="preserve">Значение коэффициента функционального использования (Кт)</w:t>
            </w:r>
          </w:p>
        </w:tc>
      </w:tr>
      <w:tr>
        <w:tc>
          <w:tcPr>
            <w:tcW w:w="4819" w:type="dxa"/>
          </w:tcPr>
          <w:p>
            <w:pPr>
              <w:pStyle w:val="0"/>
            </w:pPr>
            <w:r>
              <w:rPr>
                <w:sz w:val="20"/>
              </w:rPr>
              <w:t xml:space="preserve">Находка</w:t>
            </w:r>
          </w:p>
        </w:tc>
        <w:tc>
          <w:tcPr>
            <w:tcW w:w="3005" w:type="dxa"/>
          </w:tcPr>
          <w:p>
            <w:pPr>
              <w:pStyle w:val="0"/>
              <w:jc w:val="right"/>
            </w:pPr>
            <w:r>
              <w:rPr>
                <w:sz w:val="20"/>
              </w:rPr>
              <w:t xml:space="preserve">3</w:t>
            </w:r>
          </w:p>
        </w:tc>
      </w:tr>
      <w:tr>
        <w:tc>
          <w:tcPr>
            <w:tcW w:w="4819" w:type="dxa"/>
          </w:tcPr>
          <w:p>
            <w:pPr>
              <w:pStyle w:val="0"/>
            </w:pPr>
            <w:r>
              <w:rPr>
                <w:sz w:val="20"/>
              </w:rPr>
              <w:t xml:space="preserve">Микрорайон "поселок Врангель"</w:t>
            </w:r>
          </w:p>
        </w:tc>
        <w:tc>
          <w:tcPr>
            <w:tcW w:w="3005" w:type="dxa"/>
          </w:tcPr>
          <w:p>
            <w:pPr>
              <w:pStyle w:val="0"/>
              <w:jc w:val="right"/>
            </w:pPr>
            <w:r>
              <w:rPr>
                <w:sz w:val="20"/>
              </w:rPr>
              <w:t xml:space="preserve">2,9</w:t>
            </w:r>
          </w:p>
        </w:tc>
      </w:tr>
      <w:tr>
        <w:tc>
          <w:tcPr>
            <w:tcW w:w="4819" w:type="dxa"/>
          </w:tcPr>
          <w:p>
            <w:pPr>
              <w:pStyle w:val="0"/>
            </w:pPr>
            <w:r>
              <w:rPr>
                <w:sz w:val="20"/>
              </w:rPr>
              <w:t xml:space="preserve">Микрорайон "поселок Ливадия"</w:t>
            </w:r>
          </w:p>
        </w:tc>
        <w:tc>
          <w:tcPr>
            <w:tcW w:w="3005" w:type="dxa"/>
          </w:tcPr>
          <w:p>
            <w:pPr>
              <w:pStyle w:val="0"/>
              <w:jc w:val="right"/>
            </w:pPr>
            <w:r>
              <w:rPr>
                <w:sz w:val="20"/>
              </w:rPr>
              <w:t xml:space="preserve">2,8</w:t>
            </w:r>
          </w:p>
        </w:tc>
      </w:tr>
      <w:tr>
        <w:tc>
          <w:tcPr>
            <w:tcW w:w="4819" w:type="dxa"/>
          </w:tcPr>
          <w:p>
            <w:pPr>
              <w:pStyle w:val="0"/>
            </w:pPr>
            <w:r>
              <w:rPr>
                <w:sz w:val="20"/>
              </w:rPr>
              <w:t xml:space="preserve">Поселок Береговой, села Анна и Душкино</w:t>
            </w:r>
          </w:p>
        </w:tc>
        <w:tc>
          <w:tcPr>
            <w:tcW w:w="3005" w:type="dxa"/>
          </w:tcPr>
          <w:p>
            <w:pPr>
              <w:pStyle w:val="0"/>
              <w:jc w:val="right"/>
            </w:pPr>
            <w:r>
              <w:rPr>
                <w:sz w:val="20"/>
              </w:rPr>
              <w:t xml:space="preserve">2,7</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9" w:tooltip="Постановление администрации Находкинского городского округа от 20.01.2023 N 55 &quot;О внесении изменения в постановление администрации Находкинского городского округа от 12.04.2019 N 619 &quot;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quot; {КонсультантПлюс}">
              <w:r>
                <w:rPr>
                  <w:sz w:val="20"/>
                  <w:color w:val="0000ff"/>
                </w:rPr>
                <w:t xml:space="preserve">Постановления</w:t>
              </w:r>
            </w:hyperlink>
            <w:r>
              <w:rPr>
                <w:sz w:val="20"/>
                <w:color w:val="392c69"/>
              </w:rPr>
              <w:t xml:space="preserve"> администрации</w:t>
            </w:r>
          </w:p>
          <w:p>
            <w:pPr>
              <w:pStyle w:val="0"/>
              <w:jc w:val="center"/>
            </w:pPr>
            <w:r>
              <w:rPr>
                <w:sz w:val="20"/>
                <w:color w:val="392c69"/>
              </w:rPr>
              <w:t xml:space="preserve">Находкинского городского округа</w:t>
            </w:r>
          </w:p>
          <w:p>
            <w:pPr>
              <w:pStyle w:val="0"/>
              <w:jc w:val="center"/>
            </w:pPr>
            <w:r>
              <w:rPr>
                <w:sz w:val="20"/>
                <w:color w:val="392c69"/>
              </w:rPr>
              <w:t xml:space="preserve">от 20.01.2023 N 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2787"/>
        <w:gridCol w:w="4255"/>
        <w:gridCol w:w="2028"/>
      </w:tblGrid>
      <w:tr>
        <w:tc>
          <w:tcPr>
            <w:gridSpan w:val="3"/>
            <w:tcW w:w="9070" w:type="dxa"/>
            <w:tcBorders>
              <w:top w:val="nil"/>
              <w:left w:val="nil"/>
              <w:bottom w:val="nil"/>
              <w:right w:val="nil"/>
            </w:tcBorders>
          </w:tcPr>
          <w:bookmarkStart w:id="324" w:name="P324"/>
          <w:bookmarkEnd w:id="324"/>
          <w:p>
            <w:pPr>
              <w:pStyle w:val="0"/>
              <w:jc w:val="center"/>
            </w:pPr>
            <w:r>
              <w:rPr>
                <w:sz w:val="20"/>
              </w:rPr>
              <w:t xml:space="preserve">СОГЛАШЕНИЕ</w:t>
            </w:r>
          </w:p>
          <w:p>
            <w:pPr>
              <w:pStyle w:val="0"/>
              <w:jc w:val="center"/>
            </w:pPr>
            <w:r>
              <w:rPr>
                <w:sz w:val="20"/>
              </w:rPr>
              <w:t xml:space="preserve">на размещение нестационарного торгового объекта на территории Находкинского городского округа N</w:t>
            </w:r>
          </w:p>
        </w:tc>
      </w:tr>
      <w:tr>
        <w:tc>
          <w:tcPr>
            <w:tcW w:w="2787" w:type="dxa"/>
            <w:tcBorders>
              <w:top w:val="nil"/>
              <w:left w:val="nil"/>
              <w:bottom w:val="nil"/>
              <w:right w:val="nil"/>
            </w:tcBorders>
          </w:tcPr>
          <w:p>
            <w:pPr>
              <w:pStyle w:val="0"/>
              <w:jc w:val="center"/>
            </w:pPr>
            <w:r>
              <w:rPr>
                <w:sz w:val="20"/>
              </w:rPr>
              <w:t xml:space="preserve">"___" ____________ г.</w:t>
            </w:r>
          </w:p>
        </w:tc>
        <w:tc>
          <w:tcPr>
            <w:tcW w:w="4255" w:type="dxa"/>
            <w:tcBorders>
              <w:top w:val="nil"/>
              <w:left w:val="nil"/>
              <w:bottom w:val="nil"/>
              <w:right w:val="nil"/>
            </w:tcBorders>
          </w:tcPr>
          <w:p>
            <w:pPr>
              <w:pStyle w:val="0"/>
            </w:pPr>
            <w:r>
              <w:rPr>
                <w:sz w:val="20"/>
              </w:rPr>
            </w:r>
          </w:p>
        </w:tc>
        <w:tc>
          <w:tcPr>
            <w:tcW w:w="2028" w:type="dxa"/>
            <w:tcBorders>
              <w:top w:val="nil"/>
              <w:left w:val="nil"/>
              <w:bottom w:val="nil"/>
              <w:right w:val="nil"/>
            </w:tcBorders>
          </w:tcPr>
          <w:p>
            <w:pPr>
              <w:pStyle w:val="0"/>
              <w:jc w:val="center"/>
            </w:pPr>
            <w:r>
              <w:rPr>
                <w:sz w:val="20"/>
              </w:rPr>
              <w:t xml:space="preserve">г. Находка</w:t>
            </w:r>
          </w:p>
        </w:tc>
      </w:tr>
      <w:tr>
        <w:tc>
          <w:tcPr>
            <w:gridSpan w:val="3"/>
            <w:tcW w:w="9070" w:type="dxa"/>
            <w:tcBorders>
              <w:top w:val="nil"/>
              <w:left w:val="nil"/>
              <w:bottom w:val="nil"/>
              <w:right w:val="nil"/>
            </w:tcBorders>
          </w:tcPr>
          <w:p>
            <w:pPr>
              <w:pStyle w:val="0"/>
              <w:ind w:firstLine="283"/>
              <w:jc w:val="both"/>
            </w:pPr>
            <w:r>
              <w:rPr>
                <w:sz w:val="20"/>
              </w:rPr>
              <w:t xml:space="preserve">Администрация Находкинского городского округа в лице ___________________</w:t>
            </w:r>
          </w:p>
          <w:p>
            <w:pPr>
              <w:pStyle w:val="0"/>
              <w:jc w:val="center"/>
            </w:pPr>
            <w:r>
              <w:rPr>
                <w:sz w:val="20"/>
              </w:rPr>
              <w:t xml:space="preserve">______________________________________________________________________</w:t>
            </w:r>
          </w:p>
          <w:p>
            <w:pPr>
              <w:pStyle w:val="0"/>
              <w:jc w:val="center"/>
            </w:pPr>
            <w:r>
              <w:rPr>
                <w:sz w:val="20"/>
              </w:rPr>
              <w:t xml:space="preserve">(должность, Ф.И.О.)</w:t>
            </w:r>
          </w:p>
          <w:p>
            <w:pPr>
              <w:pStyle w:val="0"/>
            </w:pPr>
            <w:r>
              <w:rPr>
                <w:sz w:val="20"/>
              </w:rPr>
              <w:t xml:space="preserve">действующего на основании _____________________________________________,</w:t>
            </w:r>
          </w:p>
          <w:p>
            <w:pPr>
              <w:pStyle w:val="0"/>
            </w:pPr>
            <w:r>
              <w:rPr>
                <w:sz w:val="20"/>
              </w:rPr>
              <w:t xml:space="preserve">именуемая в дальнейшем "Администрация", с одной стороны, и</w:t>
            </w:r>
          </w:p>
          <w:p>
            <w:pPr>
              <w:pStyle w:val="0"/>
              <w:jc w:val="center"/>
            </w:pPr>
            <w:r>
              <w:rPr>
                <w:sz w:val="20"/>
              </w:rPr>
              <w:t xml:space="preserve">______________________________________________________________________</w:t>
            </w:r>
          </w:p>
          <w:p>
            <w:pPr>
              <w:pStyle w:val="0"/>
              <w:jc w:val="center"/>
            </w:pPr>
            <w:r>
              <w:rPr>
                <w:sz w:val="20"/>
              </w:rPr>
              <w:t xml:space="preserve">(наименование организации, крестьянского (фермерского) хозяйства, организации потребительской кооперации, Ф.И.О. индивидуального предпринимателя, физического лица, не являющимся индивидуальным предпринимателем и применяющего специальный налоговой режим)</w:t>
            </w:r>
          </w:p>
          <w:p>
            <w:pPr>
              <w:pStyle w:val="0"/>
            </w:pPr>
            <w:r>
              <w:rPr>
                <w:sz w:val="20"/>
              </w:rPr>
              <w:t xml:space="preserve">в лице ________________________________________________________________</w:t>
            </w:r>
          </w:p>
          <w:p>
            <w:pPr>
              <w:pStyle w:val="0"/>
              <w:jc w:val="center"/>
            </w:pPr>
            <w:r>
              <w:rPr>
                <w:sz w:val="20"/>
              </w:rPr>
              <w:t xml:space="preserve">(должность, Ф.И.О.)</w:t>
            </w:r>
          </w:p>
          <w:p>
            <w:pPr>
              <w:pStyle w:val="0"/>
            </w:pPr>
            <w:r>
              <w:rPr>
                <w:sz w:val="20"/>
              </w:rPr>
              <w:t xml:space="preserve">действующий на основании ______________________________________________</w:t>
            </w:r>
          </w:p>
          <w:p>
            <w:pPr>
              <w:pStyle w:val="0"/>
              <w:jc w:val="both"/>
            </w:pPr>
            <w:r>
              <w:rPr>
                <w:sz w:val="20"/>
              </w:rPr>
              <w:t xml:space="preserve">именуемое(ый) в дальнейшем "Субъект", с другой стороны, а совместно именуемые "Стороны", заключили настоящее Соглашение (далее - Соглашение) о нижеследующем.</w:t>
            </w:r>
          </w:p>
        </w:tc>
      </w:tr>
      <w:tr>
        <w:tc>
          <w:tcPr>
            <w:gridSpan w:val="3"/>
            <w:tcW w:w="9070" w:type="dxa"/>
            <w:tcBorders>
              <w:top w:val="nil"/>
              <w:left w:val="nil"/>
              <w:bottom w:val="nil"/>
              <w:right w:val="nil"/>
            </w:tcBorders>
          </w:tcPr>
          <w:p>
            <w:pPr>
              <w:pStyle w:val="0"/>
              <w:jc w:val="center"/>
            </w:pPr>
            <w:r>
              <w:rPr>
                <w:sz w:val="20"/>
              </w:rPr>
              <w:t xml:space="preserve">1. Предмет Соглашения</w:t>
            </w:r>
          </w:p>
        </w:tc>
      </w:tr>
      <w:tr>
        <w:tc>
          <w:tcPr>
            <w:gridSpan w:val="3"/>
            <w:tcW w:w="9070" w:type="dxa"/>
            <w:tcBorders>
              <w:top w:val="nil"/>
              <w:left w:val="nil"/>
              <w:bottom w:val="nil"/>
              <w:right w:val="nil"/>
            </w:tcBorders>
          </w:tcPr>
          <w:bookmarkStart w:id="341" w:name="P341"/>
          <w:bookmarkEnd w:id="341"/>
          <w:p>
            <w:pPr>
              <w:pStyle w:val="0"/>
              <w:ind w:firstLine="283"/>
              <w:jc w:val="both"/>
            </w:pPr>
            <w:r>
              <w:rPr>
                <w:sz w:val="20"/>
              </w:rPr>
              <w:t xml:space="preserve">1.1. Администрация предоставляет Субъекту право на размещение нестационарного торгового объекта (далее - Объект) в схеме размещения нестационарных торговых объектов на территории Находкинского городского округа (далее - Схема): место размещения нестационарного торгового объекта (адресный ориентир) (далее - Место)</w:t>
            </w:r>
          </w:p>
          <w:p>
            <w:pPr>
              <w:pStyle w:val="0"/>
              <w:jc w:val="center"/>
            </w:pPr>
            <w:r>
              <w:rPr>
                <w:sz w:val="20"/>
              </w:rPr>
              <w:t xml:space="preserve">______________________________________________________________________</w:t>
            </w:r>
          </w:p>
          <w:p>
            <w:pPr>
              <w:pStyle w:val="0"/>
            </w:pPr>
            <w:r>
              <w:rPr>
                <w:sz w:val="20"/>
              </w:rPr>
              <w:t xml:space="preserve">вид нестационарного торгового объекта ____________________________________</w:t>
            </w:r>
          </w:p>
          <w:p>
            <w:pPr>
              <w:pStyle w:val="0"/>
            </w:pPr>
            <w:r>
              <w:rPr>
                <w:sz w:val="20"/>
              </w:rPr>
              <w:t xml:space="preserve">специализация нестационарного торгового объекта __________________________</w:t>
            </w:r>
          </w:p>
          <w:p>
            <w:pPr>
              <w:pStyle w:val="0"/>
              <w:jc w:val="both"/>
            </w:pPr>
            <w:r>
              <w:rPr>
                <w:sz w:val="20"/>
              </w:rPr>
              <w:t xml:space="preserve">период(ы) размещения нестационарного торгового объекта (для сезонного (временного) размещения ________________________________________________</w:t>
            </w:r>
          </w:p>
          <w:p>
            <w:pPr>
              <w:pStyle w:val="0"/>
            </w:pPr>
            <w:r>
              <w:rPr>
                <w:sz w:val="20"/>
              </w:rPr>
              <w:t xml:space="preserve">площадь нестационарного торгового объекта (кв. м) _________________________</w:t>
            </w:r>
          </w:p>
          <w:p>
            <w:pPr>
              <w:pStyle w:val="0"/>
              <w:jc w:val="both"/>
            </w:pPr>
            <w:r>
              <w:rPr>
                <w:sz w:val="20"/>
              </w:rPr>
              <w:t xml:space="preserve">площадь земельного участка для размещения нестационарного торгового объекта (кв. м) ________________________________________________________________</w:t>
            </w:r>
          </w:p>
          <w:p>
            <w:pPr>
              <w:pStyle w:val="0"/>
              <w:jc w:val="both"/>
            </w:pPr>
            <w:r>
              <w:rPr>
                <w:sz w:val="20"/>
              </w:rPr>
              <w:t xml:space="preserve">координаты характерных точек границ земельного участка, занятого нестационарным торговым объектом в местной системе координат МСК-25 _______</w:t>
            </w:r>
          </w:p>
          <w:p>
            <w:pPr>
              <w:pStyle w:val="0"/>
              <w:jc w:val="center"/>
            </w:pPr>
            <w:r>
              <w:rPr>
                <w:sz w:val="20"/>
              </w:rPr>
              <w:t xml:space="preserve">____________________________________________________________________________________________________________________________________________</w:t>
            </w:r>
          </w:p>
          <w:p>
            <w:pPr>
              <w:pStyle w:val="0"/>
              <w:jc w:val="both"/>
            </w:pPr>
            <w:r>
              <w:rPr>
                <w:sz w:val="20"/>
              </w:rPr>
              <w:t xml:space="preserve">сроком на 5 (пять) лет с момента заключения Соглашения или, если нестационарный торговый объект носит сезонный характер размещения в соответствии с указанием на данное обстоятельство в абзаце 4 настоящего пункта, то сроком на период с ____ - _____ 20_ года по _____ - _____ 20_ года.</w:t>
            </w:r>
          </w:p>
          <w:p>
            <w:pPr>
              <w:pStyle w:val="0"/>
              <w:ind w:firstLine="283"/>
              <w:jc w:val="both"/>
            </w:pPr>
            <w:r>
              <w:rPr>
                <w:sz w:val="20"/>
              </w:rPr>
              <w:t xml:space="preserve">После истечения вышеуказанного срока Субъект имеет преимущественное право на заключение нового Соглашения на новый срок, за исключением случаев, установленных законодательством Российской Федерации.</w:t>
            </w:r>
          </w:p>
        </w:tc>
      </w:tr>
      <w:tr>
        <w:tc>
          <w:tcPr>
            <w:gridSpan w:val="3"/>
            <w:tcW w:w="9070" w:type="dxa"/>
            <w:tcBorders>
              <w:top w:val="nil"/>
              <w:left w:val="nil"/>
              <w:bottom w:val="nil"/>
              <w:right w:val="nil"/>
            </w:tcBorders>
          </w:tcPr>
          <w:p>
            <w:pPr>
              <w:pStyle w:val="0"/>
              <w:jc w:val="center"/>
            </w:pPr>
            <w:r>
              <w:rPr>
                <w:sz w:val="20"/>
              </w:rPr>
              <w:t xml:space="preserve">2. Обязанности Сторон</w:t>
            </w:r>
          </w:p>
        </w:tc>
      </w:tr>
      <w:tr>
        <w:tc>
          <w:tcPr>
            <w:gridSpan w:val="3"/>
            <w:tcW w:w="9070" w:type="dxa"/>
            <w:tcBorders>
              <w:top w:val="nil"/>
              <w:left w:val="nil"/>
              <w:bottom w:val="nil"/>
              <w:right w:val="nil"/>
            </w:tcBorders>
          </w:tcPr>
          <w:p>
            <w:pPr>
              <w:pStyle w:val="0"/>
              <w:ind w:firstLine="283"/>
              <w:jc w:val="both"/>
            </w:pPr>
            <w:r>
              <w:rPr>
                <w:sz w:val="20"/>
              </w:rPr>
              <w:t xml:space="preserve">2.1. Администрация обязана:</w:t>
            </w:r>
          </w:p>
          <w:p>
            <w:pPr>
              <w:pStyle w:val="0"/>
              <w:ind w:firstLine="283"/>
              <w:jc w:val="both"/>
            </w:pPr>
            <w:r>
              <w:rPr>
                <w:sz w:val="20"/>
              </w:rPr>
              <w:t xml:space="preserve">Обеспечить Субъекту право беспрепятственно разместить и эксплуатировать Объект на Месте, указанном в </w:t>
            </w:r>
            <w:hyperlink w:history="0" w:anchor="P341" w:tooltip="1.1. Администрация предоставляет Субъекту право на размещение нестационарного торгового объекта (далее - Объект) в схеме размещения нестационарных торговых объектов на территории Находкинского городского округа (далее - Схема): место размещения нестационарного торгового объекта (адресный ориентир) (далее - Место)">
              <w:r>
                <w:rPr>
                  <w:sz w:val="20"/>
                  <w:color w:val="0000ff"/>
                </w:rPr>
                <w:t xml:space="preserve">пункте 1.1</w:t>
              </w:r>
            </w:hyperlink>
            <w:r>
              <w:rPr>
                <w:sz w:val="20"/>
              </w:rPr>
              <w:t xml:space="preserve"> настоящего Соглашения.</w:t>
            </w:r>
          </w:p>
          <w:p>
            <w:pPr>
              <w:pStyle w:val="0"/>
              <w:ind w:firstLine="283"/>
              <w:jc w:val="both"/>
            </w:pPr>
            <w:r>
              <w:rPr>
                <w:sz w:val="20"/>
              </w:rPr>
              <w:t xml:space="preserve">2.2. Администрация имеет право:</w:t>
            </w:r>
          </w:p>
          <w:p>
            <w:pPr>
              <w:pStyle w:val="0"/>
              <w:ind w:firstLine="283"/>
              <w:jc w:val="both"/>
            </w:pPr>
            <w:r>
              <w:rPr>
                <w:sz w:val="20"/>
              </w:rPr>
              <w:t xml:space="preserve">1) в период действия Соглашения проверять соблюдение Субъектом требований настоящего соглашения;</w:t>
            </w:r>
          </w:p>
          <w:p>
            <w:pPr>
              <w:pStyle w:val="0"/>
              <w:ind w:firstLine="283"/>
              <w:jc w:val="both"/>
            </w:pPr>
            <w:r>
              <w:rPr>
                <w:sz w:val="20"/>
              </w:rPr>
              <w:t xml:space="preserve">2) отказаться от исполнения Соглашения в одностороннем порядке вследствие исключения субъекта или места размещения из Схемы в случаях, установленных </w:t>
            </w:r>
            <w:hyperlink w:history="0" r:id="rId60" w:tooltip="Приказ департамента лицензирования и торговли Приморского края от 15.12.2015 N 114 (ред. от 18.06.2024) &quot;Об утверждении Порядка разработки и утверждения органами местного самоуправления Приморского края схем размещения нестационарных торговых объектов&quot; (с изм. и доп., вступающими в силу с 03.07.2024) {КонсультантПлюс}">
              <w:r>
                <w:rPr>
                  <w:sz w:val="20"/>
                  <w:color w:val="0000ff"/>
                </w:rPr>
                <w:t xml:space="preserve">приказом</w:t>
              </w:r>
            </w:hyperlink>
            <w:r>
              <w:rPr>
                <w:sz w:val="20"/>
              </w:rPr>
              <w:t xml:space="preserve"> департамента лицензирования и торговли Приморского края от 15.12.2015 N 114 "Об утверждении Порядка разработки и утверждения органами местного самоуправления Приморского края схем размещения нестационарных торговых объектов", а также по иным основаниям, установленным действующим законодательством Российской Федерации.</w:t>
            </w:r>
          </w:p>
          <w:p>
            <w:pPr>
              <w:pStyle w:val="0"/>
              <w:ind w:firstLine="283"/>
              <w:jc w:val="both"/>
            </w:pPr>
            <w:r>
              <w:rPr>
                <w:sz w:val="20"/>
              </w:rPr>
              <w:t xml:space="preserve">2.3. Субъект обязан:</w:t>
            </w:r>
          </w:p>
          <w:p>
            <w:pPr>
              <w:pStyle w:val="0"/>
              <w:ind w:firstLine="283"/>
              <w:jc w:val="both"/>
            </w:pPr>
            <w:r>
              <w:rPr>
                <w:sz w:val="20"/>
              </w:rPr>
              <w:t xml:space="preserve">1) разместить и обеспечить эксплуатацию Объекта в соответствии со Схемой и настоящим Соглашением;</w:t>
            </w:r>
          </w:p>
          <w:p>
            <w:pPr>
              <w:pStyle w:val="0"/>
              <w:ind w:firstLine="283"/>
              <w:jc w:val="both"/>
            </w:pPr>
            <w:r>
              <w:rPr>
                <w:sz w:val="20"/>
              </w:rPr>
              <w:t xml:space="preserve">2) своевременно вносить плату за размещение Объекта в размере и на условиях, установленных </w:t>
            </w:r>
            <w:hyperlink w:history="0" w:anchor="P368" w:tooltip="3. Размер и порядок внесения платы">
              <w:r>
                <w:rPr>
                  <w:sz w:val="20"/>
                  <w:color w:val="0000ff"/>
                </w:rPr>
                <w:t xml:space="preserve">разделом 3</w:t>
              </w:r>
            </w:hyperlink>
            <w:r>
              <w:rPr>
                <w:sz w:val="20"/>
              </w:rPr>
              <w:t xml:space="preserve"> настоящего Соглашения;</w:t>
            </w:r>
          </w:p>
          <w:p>
            <w:pPr>
              <w:pStyle w:val="0"/>
              <w:ind w:firstLine="283"/>
              <w:jc w:val="both"/>
            </w:pPr>
            <w:r>
              <w:rPr>
                <w:sz w:val="20"/>
              </w:rPr>
              <w:t xml:space="preserve">3) соблюдать законодательство Российской Федерации в сфере розничной продажи алкогольной продукции;</w:t>
            </w:r>
          </w:p>
          <w:p>
            <w:pPr>
              <w:pStyle w:val="0"/>
              <w:ind w:firstLine="283"/>
              <w:jc w:val="both"/>
            </w:pPr>
            <w:r>
              <w:rPr>
                <w:sz w:val="20"/>
              </w:rPr>
              <w:t xml:space="preserve">4) обеспечивать доступ к Объекту представителей органов государственного и муниципального контроля (надзора) для осуществления ими должностных обязанностей;</w:t>
            </w:r>
          </w:p>
          <w:p>
            <w:pPr>
              <w:pStyle w:val="0"/>
              <w:ind w:firstLine="283"/>
              <w:jc w:val="both"/>
            </w:pPr>
            <w:r>
              <w:rPr>
                <w:sz w:val="20"/>
              </w:rPr>
              <w:t xml:space="preserve">5) произвести демонтаж Объекта за свой счет с восстановлением благоустройства Места при расторжении Соглашения в течение 30 (тридцати) рабочих дней со дня получения уведомления о расторжении Соглашения или со дня направления такого уведомления в адрес Администрации. По истечении указанного срока, Объект считается самовольно установленным;</w:t>
            </w:r>
          </w:p>
          <w:p>
            <w:pPr>
              <w:pStyle w:val="0"/>
              <w:ind w:firstLine="283"/>
              <w:jc w:val="both"/>
            </w:pPr>
            <w:r>
              <w:rPr>
                <w:sz w:val="20"/>
              </w:rPr>
              <w:t xml:space="preserve">6) после истечения срока действия Соглашения обратиться за новым Соглашением на новый срок, в случае если им не заявлено об исключении его из Схемы.</w:t>
            </w:r>
          </w:p>
          <w:p>
            <w:pPr>
              <w:pStyle w:val="0"/>
              <w:ind w:firstLine="283"/>
              <w:jc w:val="both"/>
            </w:pPr>
            <w:r>
              <w:rPr>
                <w:sz w:val="20"/>
              </w:rPr>
              <w:t xml:space="preserve">2.4. Субъект имеет право:</w:t>
            </w:r>
          </w:p>
          <w:p>
            <w:pPr>
              <w:pStyle w:val="0"/>
              <w:ind w:firstLine="283"/>
              <w:jc w:val="both"/>
            </w:pPr>
            <w:r>
              <w:rPr>
                <w:sz w:val="20"/>
              </w:rPr>
              <w:t xml:space="preserve">1) разместить и эксплуатировать Объект в соответствии с настоящим Соглашением;</w:t>
            </w:r>
          </w:p>
          <w:p>
            <w:pPr>
              <w:pStyle w:val="0"/>
              <w:ind w:firstLine="283"/>
              <w:jc w:val="both"/>
            </w:pPr>
            <w:r>
              <w:rPr>
                <w:sz w:val="20"/>
              </w:rPr>
              <w:t xml:space="preserve">2) осуществлять иные права, предусмотренные действующим законодательством и муниципальными правовыми актами.</w:t>
            </w:r>
          </w:p>
        </w:tc>
      </w:tr>
      <w:tr>
        <w:tc>
          <w:tcPr>
            <w:gridSpan w:val="3"/>
            <w:tcW w:w="9070" w:type="dxa"/>
            <w:tcBorders>
              <w:top w:val="nil"/>
              <w:left w:val="nil"/>
              <w:bottom w:val="nil"/>
              <w:right w:val="nil"/>
            </w:tcBorders>
          </w:tcPr>
          <w:bookmarkStart w:id="368" w:name="P368"/>
          <w:bookmarkEnd w:id="368"/>
          <w:p>
            <w:pPr>
              <w:pStyle w:val="0"/>
              <w:jc w:val="center"/>
            </w:pPr>
            <w:r>
              <w:rPr>
                <w:sz w:val="20"/>
              </w:rPr>
              <w:t xml:space="preserve">3. Размер и порядок внесения платы</w:t>
            </w:r>
          </w:p>
        </w:tc>
      </w:tr>
      <w:tr>
        <w:tc>
          <w:tcPr>
            <w:gridSpan w:val="3"/>
            <w:tcW w:w="9070" w:type="dxa"/>
            <w:tcBorders>
              <w:top w:val="nil"/>
              <w:left w:val="nil"/>
              <w:bottom w:val="nil"/>
              <w:right w:val="nil"/>
            </w:tcBorders>
          </w:tcPr>
          <w:p>
            <w:pPr>
              <w:pStyle w:val="0"/>
              <w:ind w:firstLine="283"/>
              <w:jc w:val="both"/>
            </w:pPr>
            <w:r>
              <w:rPr>
                <w:sz w:val="20"/>
              </w:rPr>
              <w:t xml:space="preserve">3.1. Размер и порядок внесения платы за размещение Объекта в Схеме рассчитывается в соответствии с постановлением администрации Находкинского городского округа от 12.04.2019 N 619, и составляет _____ рублей 00 копеек в месяц.</w:t>
            </w:r>
          </w:p>
          <w:p>
            <w:pPr>
              <w:pStyle w:val="0"/>
              <w:ind w:firstLine="283"/>
              <w:jc w:val="both"/>
            </w:pPr>
            <w:r>
              <w:rPr>
                <w:sz w:val="20"/>
              </w:rPr>
              <w:t xml:space="preserve">Плата за размещение Объекта подлежит внесению в бюджет Находкинского городского округа в течение 5 (пяти) календарных дней с даты заключения настоящего Соглашения, а далее вносится ежемесячно, не позднее числа месяца, в котором было заключено настоящее Соглашение.</w:t>
            </w:r>
          </w:p>
        </w:tc>
      </w:tr>
      <w:tr>
        <w:tc>
          <w:tcPr>
            <w:gridSpan w:val="3"/>
            <w:tcW w:w="9070" w:type="dxa"/>
            <w:tcBorders>
              <w:top w:val="nil"/>
              <w:left w:val="nil"/>
              <w:bottom w:val="nil"/>
              <w:right w:val="nil"/>
            </w:tcBorders>
          </w:tcPr>
          <w:p>
            <w:pPr>
              <w:pStyle w:val="0"/>
              <w:jc w:val="center"/>
            </w:pPr>
            <w:r>
              <w:rPr>
                <w:sz w:val="20"/>
              </w:rPr>
              <w:t xml:space="preserve">4. Ответственность Сторон</w:t>
            </w:r>
          </w:p>
        </w:tc>
      </w:tr>
      <w:tr>
        <w:tc>
          <w:tcPr>
            <w:gridSpan w:val="3"/>
            <w:tcW w:w="9070" w:type="dxa"/>
            <w:tcBorders>
              <w:top w:val="nil"/>
              <w:left w:val="nil"/>
              <w:bottom w:val="nil"/>
              <w:right w:val="nil"/>
            </w:tcBorders>
          </w:tcPr>
          <w:p>
            <w:pPr>
              <w:pStyle w:val="0"/>
              <w:ind w:firstLine="283"/>
              <w:jc w:val="both"/>
            </w:pPr>
            <w:r>
              <w:rPr>
                <w:sz w:val="20"/>
              </w:rPr>
              <w:t xml:space="preserve">4.1. В случае неисполнения или ненадлежащего исполнения обязательств по настоящему Соглашению Стороны несут ответственность в соответствии с действующим законодательством Российской Федерации.</w:t>
            </w:r>
          </w:p>
        </w:tc>
      </w:tr>
      <w:tr>
        <w:tc>
          <w:tcPr>
            <w:gridSpan w:val="3"/>
            <w:tcW w:w="9070" w:type="dxa"/>
            <w:tcBorders>
              <w:top w:val="nil"/>
              <w:left w:val="nil"/>
              <w:bottom w:val="nil"/>
              <w:right w:val="nil"/>
            </w:tcBorders>
          </w:tcPr>
          <w:p>
            <w:pPr>
              <w:pStyle w:val="0"/>
              <w:jc w:val="center"/>
            </w:pPr>
            <w:r>
              <w:rPr>
                <w:sz w:val="20"/>
              </w:rPr>
              <w:t xml:space="preserve">5. Расторжение и изменение условий Соглашения</w:t>
            </w:r>
          </w:p>
        </w:tc>
      </w:tr>
      <w:tr>
        <w:tc>
          <w:tcPr>
            <w:gridSpan w:val="3"/>
            <w:tcW w:w="9070" w:type="dxa"/>
            <w:tcBorders>
              <w:top w:val="nil"/>
              <w:left w:val="nil"/>
              <w:bottom w:val="nil"/>
              <w:right w:val="nil"/>
            </w:tcBorders>
          </w:tcPr>
          <w:p>
            <w:pPr>
              <w:pStyle w:val="0"/>
              <w:ind w:firstLine="283"/>
              <w:jc w:val="both"/>
            </w:pPr>
            <w:r>
              <w:rPr>
                <w:sz w:val="20"/>
              </w:rPr>
              <w:t xml:space="preserve">5.1. Изменения и (или) дополнения к Соглашению оформляются Сторонами в письменной форме в виде дополнительных соглашений, которые являются неотъемлемой частью настоящего Соглашения.</w:t>
            </w:r>
          </w:p>
          <w:p>
            <w:pPr>
              <w:pStyle w:val="0"/>
              <w:ind w:firstLine="283"/>
              <w:jc w:val="both"/>
            </w:pPr>
            <w:r>
              <w:rPr>
                <w:sz w:val="20"/>
              </w:rPr>
              <w:t xml:space="preserve">5.2. Настоящее Соглашение действует сроком на 5 (пять) лет или до момента принятия администрацией Находкинского городского округа решения в форме постановления об исключении Субъекта или места размещение из Схемы.</w:t>
            </w:r>
          </w:p>
        </w:tc>
      </w:tr>
      <w:tr>
        <w:tc>
          <w:tcPr>
            <w:gridSpan w:val="3"/>
            <w:tcW w:w="9070" w:type="dxa"/>
            <w:tcBorders>
              <w:top w:val="nil"/>
              <w:left w:val="nil"/>
              <w:bottom w:val="nil"/>
              <w:right w:val="nil"/>
            </w:tcBorders>
          </w:tcPr>
          <w:p>
            <w:pPr>
              <w:pStyle w:val="0"/>
              <w:jc w:val="center"/>
            </w:pPr>
            <w:r>
              <w:rPr>
                <w:sz w:val="20"/>
              </w:rPr>
              <w:t xml:space="preserve">6. Прочие условия</w:t>
            </w:r>
          </w:p>
        </w:tc>
      </w:tr>
      <w:tr>
        <w:tc>
          <w:tcPr>
            <w:gridSpan w:val="3"/>
            <w:tcW w:w="9070" w:type="dxa"/>
            <w:tcBorders>
              <w:top w:val="nil"/>
              <w:left w:val="nil"/>
              <w:bottom w:val="nil"/>
              <w:right w:val="nil"/>
            </w:tcBorders>
          </w:tcPr>
          <w:p>
            <w:pPr>
              <w:pStyle w:val="0"/>
              <w:ind w:firstLine="283"/>
              <w:jc w:val="both"/>
            </w:pPr>
            <w:r>
              <w:rPr>
                <w:sz w:val="20"/>
              </w:rPr>
              <w:t xml:space="preserve">6.1. Споры по настоящему Соглашению разрешаются Сторонами в Арбитражном суде Приморского края.</w:t>
            </w:r>
          </w:p>
          <w:p>
            <w:pPr>
              <w:pStyle w:val="0"/>
              <w:ind w:firstLine="283"/>
              <w:jc w:val="both"/>
            </w:pPr>
            <w:r>
              <w:rPr>
                <w:sz w:val="20"/>
              </w:rPr>
              <w:t xml:space="preserve">6.2. Соглашение составлено в двух экземплярах, каждый из которых имеет одинаковую юридическую силу, по одному экземпляру для каждой из Сторон.</w:t>
            </w:r>
          </w:p>
        </w:tc>
      </w:tr>
      <w:tr>
        <w:tc>
          <w:tcPr>
            <w:gridSpan w:val="3"/>
            <w:tcW w:w="9070" w:type="dxa"/>
            <w:tcBorders>
              <w:top w:val="nil"/>
              <w:left w:val="nil"/>
              <w:bottom w:val="nil"/>
              <w:right w:val="nil"/>
            </w:tcBorders>
          </w:tcPr>
          <w:p>
            <w:pPr>
              <w:pStyle w:val="0"/>
              <w:jc w:val="center"/>
            </w:pPr>
            <w:r>
              <w:rPr>
                <w:sz w:val="20"/>
              </w:rPr>
              <w:t xml:space="preserve">7. Реквизиты и подписи сторон</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7" w:bottom="1440" w:left="1134"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Находкинского городского округа от 12.04.2019 N 619</w:t>
            <w:br/>
            <w:t>(ред. от 23.05.2024)</w:t>
            <w:br/>
            <w:t>"Об утверждении пор...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20&amp;n=144623&amp;dst=100005" TargetMode = "External"/>
	<Relationship Id="rId8" Type="http://schemas.openxmlformats.org/officeDocument/2006/relationships/hyperlink" Target="https://login.consultant.ru/link/?req=doc&amp;base=RLAW020&amp;n=157084&amp;dst=100005" TargetMode = "External"/>
	<Relationship Id="rId9" Type="http://schemas.openxmlformats.org/officeDocument/2006/relationships/hyperlink" Target="https://login.consultant.ru/link/?req=doc&amp;base=RLAW020&amp;n=158456&amp;dst=100005" TargetMode = "External"/>
	<Relationship Id="rId10" Type="http://schemas.openxmlformats.org/officeDocument/2006/relationships/hyperlink" Target="https://login.consultant.ru/link/?req=doc&amp;base=RLAW020&amp;n=164205&amp;dst=100005" TargetMode = "External"/>
	<Relationship Id="rId11" Type="http://schemas.openxmlformats.org/officeDocument/2006/relationships/hyperlink" Target="https://login.consultant.ru/link/?req=doc&amp;base=RLAW020&amp;n=175608&amp;dst=100005" TargetMode = "External"/>
	<Relationship Id="rId12" Type="http://schemas.openxmlformats.org/officeDocument/2006/relationships/hyperlink" Target="https://login.consultant.ru/link/?req=doc&amp;base=RLAW020&amp;n=181185&amp;dst=100005" TargetMode = "External"/>
	<Relationship Id="rId13" Type="http://schemas.openxmlformats.org/officeDocument/2006/relationships/hyperlink" Target="https://login.consultant.ru/link/?req=doc&amp;base=RLAW020&amp;n=200397&amp;dst=100005" TargetMode = "External"/>
	<Relationship Id="rId14" Type="http://schemas.openxmlformats.org/officeDocument/2006/relationships/hyperlink" Target="https://login.consultant.ru/link/?req=doc&amp;base=LAW&amp;n=480999" TargetMode = "External"/>
	<Relationship Id="rId15" Type="http://schemas.openxmlformats.org/officeDocument/2006/relationships/hyperlink" Target="https://login.consultant.ru/link/?req=doc&amp;base=LAW&amp;n=494642" TargetMode = "External"/>
	<Relationship Id="rId16" Type="http://schemas.openxmlformats.org/officeDocument/2006/relationships/hyperlink" Target="https://login.consultant.ru/link/?req=doc&amp;base=RLAW020&amp;n=198613" TargetMode = "External"/>
	<Relationship Id="rId17" Type="http://schemas.openxmlformats.org/officeDocument/2006/relationships/hyperlink" Target="https://login.consultant.ru/link/?req=doc&amp;base=RLAW020&amp;n=201483" TargetMode = "External"/>
	<Relationship Id="rId18" Type="http://schemas.openxmlformats.org/officeDocument/2006/relationships/hyperlink" Target="https://login.consultant.ru/link/?req=doc&amp;base=RLAW020&amp;n=197165" TargetMode = "External"/>
	<Relationship Id="rId19" Type="http://schemas.openxmlformats.org/officeDocument/2006/relationships/hyperlink" Target="https://login.consultant.ru/link/?req=doc&amp;base=RLAW020&amp;n=144623&amp;dst=100006" TargetMode = "External"/>
	<Relationship Id="rId20" Type="http://schemas.openxmlformats.org/officeDocument/2006/relationships/hyperlink" Target="https://login.consultant.ru/link/?req=doc&amp;base=RLAW020&amp;n=144623&amp;dst=100009" TargetMode = "External"/>
	<Relationship Id="rId21" Type="http://schemas.openxmlformats.org/officeDocument/2006/relationships/hyperlink" Target="https://login.consultant.ru/link/?req=doc&amp;base=RLAW020&amp;n=157084&amp;dst=100006" TargetMode = "External"/>
	<Relationship Id="rId22" Type="http://schemas.openxmlformats.org/officeDocument/2006/relationships/hyperlink" Target="https://login.consultant.ru/link/?req=doc&amp;base=RLAW020&amp;n=164205&amp;dst=100006" TargetMode = "External"/>
	<Relationship Id="rId23" Type="http://schemas.openxmlformats.org/officeDocument/2006/relationships/hyperlink" Target="https://login.consultant.ru/link/?req=doc&amp;base=RLAW020&amp;n=175608&amp;dst=100005" TargetMode = "External"/>
	<Relationship Id="rId24" Type="http://schemas.openxmlformats.org/officeDocument/2006/relationships/hyperlink" Target="https://login.consultant.ru/link/?req=doc&amp;base=RLAW020&amp;n=200397&amp;dst=100005" TargetMode = "External"/>
	<Relationship Id="rId25" Type="http://schemas.openxmlformats.org/officeDocument/2006/relationships/hyperlink" Target="https://login.consultant.ru/link/?req=doc&amp;base=RLAW020&amp;n=198613" TargetMode = "External"/>
	<Relationship Id="rId26" Type="http://schemas.openxmlformats.org/officeDocument/2006/relationships/hyperlink" Target="https://login.consultant.ru/link/?req=doc&amp;base=RLAW020&amp;n=200397&amp;dst=100005" TargetMode = "External"/>
	<Relationship Id="rId27" Type="http://schemas.openxmlformats.org/officeDocument/2006/relationships/hyperlink" Target="https://login.consultant.ru/link/?req=doc&amp;base=RLAW020&amp;n=198613&amp;dst=100035" TargetMode = "External"/>
	<Relationship Id="rId28" Type="http://schemas.openxmlformats.org/officeDocument/2006/relationships/hyperlink" Target="https://login.consultant.ru/link/?req=doc&amp;base=RLAW020&amp;n=198613&amp;dst=100056" TargetMode = "External"/>
	<Relationship Id="rId29" Type="http://schemas.openxmlformats.org/officeDocument/2006/relationships/hyperlink" Target="https://login.consultant.ru/link/?req=doc&amp;base=RLAW020&amp;n=164205&amp;dst=100007" TargetMode = "External"/>
	<Relationship Id="rId30" Type="http://schemas.openxmlformats.org/officeDocument/2006/relationships/hyperlink" Target="https://login.consultant.ru/link/?req=doc&amp;base=RLAW020&amp;n=198613&amp;dst=100036" TargetMode = "External"/>
	<Relationship Id="rId31" Type="http://schemas.openxmlformats.org/officeDocument/2006/relationships/hyperlink" Target="https://login.consultant.ru/link/?req=doc&amp;base=RLAW020&amp;n=198613&amp;dst=100035" TargetMode = "External"/>
	<Relationship Id="rId32" Type="http://schemas.openxmlformats.org/officeDocument/2006/relationships/hyperlink" Target="https://login.consultant.ru/link/?req=doc&amp;base=RLAW020&amp;n=198613&amp;dst=100036" TargetMode = "External"/>
	<Relationship Id="rId33" Type="http://schemas.openxmlformats.org/officeDocument/2006/relationships/hyperlink" Target="https://login.consultant.ru/link/?req=doc&amp;base=RLAW020&amp;n=198613&amp;dst=100041" TargetMode = "External"/>
	<Relationship Id="rId34" Type="http://schemas.openxmlformats.org/officeDocument/2006/relationships/hyperlink" Target="https://login.consultant.ru/link/?req=doc&amp;base=RLAW020&amp;n=157084&amp;dst=100006" TargetMode = "External"/>
	<Relationship Id="rId35" Type="http://schemas.openxmlformats.org/officeDocument/2006/relationships/hyperlink" Target="https://login.consultant.ru/link/?req=doc&amp;base=RLAW020&amp;n=164205&amp;dst=100008" TargetMode = "External"/>
	<Relationship Id="rId36" Type="http://schemas.openxmlformats.org/officeDocument/2006/relationships/hyperlink" Target="https://login.consultant.ru/link/?req=doc&amp;base=RLAW020&amp;n=130326&amp;dst=100044" TargetMode = "External"/>
	<Relationship Id="rId37" Type="http://schemas.openxmlformats.org/officeDocument/2006/relationships/hyperlink" Target="https://login.consultant.ru/link/?req=doc&amp;base=RLAW020&amp;n=198613&amp;dst=100035" TargetMode = "External"/>
	<Relationship Id="rId38" Type="http://schemas.openxmlformats.org/officeDocument/2006/relationships/hyperlink" Target="https://login.consultant.ru/link/?req=doc&amp;base=RLAW020&amp;n=198613&amp;dst=100056" TargetMode = "External"/>
	<Relationship Id="rId39" Type="http://schemas.openxmlformats.org/officeDocument/2006/relationships/hyperlink" Target="https://login.consultant.ru/link/?req=doc&amp;base=RLAW020&amp;n=164205&amp;dst=100010" TargetMode = "External"/>
	<Relationship Id="rId40" Type="http://schemas.openxmlformats.org/officeDocument/2006/relationships/hyperlink" Target="https://login.consultant.ru/link/?req=doc&amp;base=RLAW020&amp;n=130326&amp;dst=100084" TargetMode = "External"/>
	<Relationship Id="rId41" Type="http://schemas.openxmlformats.org/officeDocument/2006/relationships/hyperlink" Target="https://login.consultant.ru/link/?req=doc&amp;base=RLAW020&amp;n=164205&amp;dst=100011" TargetMode = "External"/>
	<Relationship Id="rId42" Type="http://schemas.openxmlformats.org/officeDocument/2006/relationships/hyperlink" Target="https://login.consultant.ru/link/?req=doc&amp;base=RLAW020&amp;n=144623&amp;dst=100010" TargetMode = "External"/>
	<Relationship Id="rId43" Type="http://schemas.openxmlformats.org/officeDocument/2006/relationships/hyperlink" Target="https://login.consultant.ru/link/?req=doc&amp;base=RLAW020&amp;n=157084&amp;dst=100008" TargetMode = "External"/>
	<Relationship Id="rId44" Type="http://schemas.openxmlformats.org/officeDocument/2006/relationships/hyperlink" Target="https://login.consultant.ru/link/?req=doc&amp;base=RLAW020&amp;n=164205&amp;dst=100013" TargetMode = "External"/>
	<Relationship Id="rId45" Type="http://schemas.openxmlformats.org/officeDocument/2006/relationships/hyperlink" Target="https://login.consultant.ru/link/?req=doc&amp;base=RLAW020&amp;n=198613" TargetMode = "External"/>
	<Relationship Id="rId46" Type="http://schemas.openxmlformats.org/officeDocument/2006/relationships/hyperlink" Target="https://login.consultant.ru/link/?req=doc&amp;base=RLAW020&amp;n=144623&amp;dst=100011" TargetMode = "External"/>
	<Relationship Id="rId47" Type="http://schemas.openxmlformats.org/officeDocument/2006/relationships/hyperlink" Target="https://login.consultant.ru/link/?req=doc&amp;base=RLAW020&amp;n=157084&amp;dst=100008" TargetMode = "External"/>
	<Relationship Id="rId48" Type="http://schemas.openxmlformats.org/officeDocument/2006/relationships/hyperlink" Target="https://login.consultant.ru/link/?req=doc&amp;base=RLAW020&amp;n=164205&amp;dst=100013" TargetMode = "External"/>
	<Relationship Id="rId49" Type="http://schemas.openxmlformats.org/officeDocument/2006/relationships/hyperlink" Target="https://login.consultant.ru/link/?req=doc&amp;base=RLAW020&amp;n=164205&amp;dst=100013" TargetMode = "External"/>
	<Relationship Id="rId50" Type="http://schemas.openxmlformats.org/officeDocument/2006/relationships/hyperlink" Target="https://login.consultant.ru/link/?req=doc&amp;base=RLAW020&amp;n=144623&amp;dst=100014" TargetMode = "External"/>
	<Relationship Id="rId51" Type="http://schemas.openxmlformats.org/officeDocument/2006/relationships/hyperlink" Target="https://login.consultant.ru/link/?req=doc&amp;base=RLAW020&amp;n=157084&amp;dst=100009" TargetMode = "External"/>
	<Relationship Id="rId52" Type="http://schemas.openxmlformats.org/officeDocument/2006/relationships/hyperlink" Target="https://login.consultant.ru/link/?req=doc&amp;base=RLAW020&amp;n=164205&amp;dst=100015" TargetMode = "External"/>
	<Relationship Id="rId53" Type="http://schemas.openxmlformats.org/officeDocument/2006/relationships/hyperlink" Target="https://login.consultant.ru/link/?req=doc&amp;base=RLAW020&amp;n=198613" TargetMode = "External"/>
	<Relationship Id="rId54" Type="http://schemas.openxmlformats.org/officeDocument/2006/relationships/hyperlink" Target="https://login.consultant.ru/link/?req=doc&amp;base=RLAW020&amp;n=164205&amp;dst=100015" TargetMode = "External"/>
	<Relationship Id="rId55" Type="http://schemas.openxmlformats.org/officeDocument/2006/relationships/hyperlink" Target="https://login.consultant.ru/link/?req=doc&amp;base=RLAW020&amp;n=144623&amp;dst=100015" TargetMode = "External"/>
	<Relationship Id="rId56" Type="http://schemas.openxmlformats.org/officeDocument/2006/relationships/hyperlink" Target="https://login.consultant.ru/link/?req=doc&amp;base=RLAW020&amp;n=157084&amp;dst=100009" TargetMode = "External"/>
	<Relationship Id="rId57" Type="http://schemas.openxmlformats.org/officeDocument/2006/relationships/hyperlink" Target="https://login.consultant.ru/link/?req=doc&amp;base=RLAW020&amp;n=164205&amp;dst=100016" TargetMode = "External"/>
	<Relationship Id="rId58" Type="http://schemas.openxmlformats.org/officeDocument/2006/relationships/hyperlink" Target="https://login.consultant.ru/link/?req=doc&amp;base=RLAW020&amp;n=164205&amp;dst=100016" TargetMode = "External"/>
	<Relationship Id="rId59" Type="http://schemas.openxmlformats.org/officeDocument/2006/relationships/hyperlink" Target="https://login.consultant.ru/link/?req=doc&amp;base=RLAW020&amp;n=181185&amp;dst=100005" TargetMode = "External"/>
	<Relationship Id="rId60" Type="http://schemas.openxmlformats.org/officeDocument/2006/relationships/hyperlink" Target="https://login.consultant.ru/link/?req=doc&amp;base=RLAW020&amp;n=20148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Находкинского городского округа от 12.04.2019 N 619
(ред. от 23.05.2024)
"Об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dc:title>
  <dcterms:created xsi:type="dcterms:W3CDTF">2025-01-21T06:43:18Z</dcterms:created>
</cp:coreProperties>
</file>