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D4" w:rsidRDefault="001D2BD4">
      <w:pPr>
        <w:ind w:left="5670"/>
        <w:jc w:val="center"/>
        <w:rPr>
          <w:sz w:val="26"/>
          <w:szCs w:val="26"/>
        </w:rPr>
      </w:pPr>
    </w:p>
    <w:p w:rsidR="00A91D7F" w:rsidRDefault="00A867ED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УТВЕРЖДЕНА </w:t>
      </w:r>
    </w:p>
    <w:p w:rsidR="00EA5E35" w:rsidRDefault="00EA5E35">
      <w:pPr>
        <w:ind w:left="5670"/>
        <w:jc w:val="center"/>
        <w:rPr>
          <w:sz w:val="26"/>
          <w:szCs w:val="26"/>
        </w:rPr>
      </w:pPr>
    </w:p>
    <w:p w:rsidR="00A91D7F" w:rsidRDefault="00A867ED">
      <w:pPr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A91D7F" w:rsidRDefault="00A867ED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</w:t>
      </w:r>
    </w:p>
    <w:p w:rsidR="00A91D7F" w:rsidRDefault="003905DC" w:rsidP="00EA5E35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14 сентября 2023 года № 1770</w:t>
      </w:r>
    </w:p>
    <w:p w:rsidR="00A91D7F" w:rsidRDefault="00A91D7F">
      <w:pPr>
        <w:ind w:right="-29"/>
        <w:rPr>
          <w:b/>
          <w:bCs/>
          <w:sz w:val="26"/>
          <w:szCs w:val="26"/>
        </w:rPr>
      </w:pPr>
    </w:p>
    <w:p w:rsidR="00A91D7F" w:rsidRDefault="00A91D7F">
      <w:pPr>
        <w:ind w:right="-29"/>
        <w:jc w:val="center"/>
        <w:rPr>
          <w:b/>
          <w:bCs/>
          <w:sz w:val="26"/>
          <w:szCs w:val="26"/>
        </w:rPr>
      </w:pPr>
    </w:p>
    <w:p w:rsidR="00932741" w:rsidRP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>МУНИЦИПАЛЬНАЯ ПРОГРАММА</w:t>
      </w:r>
    </w:p>
    <w:p w:rsidR="00932741" w:rsidRPr="00932741" w:rsidRDefault="00932741" w:rsidP="00932741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932741" w:rsidRP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 xml:space="preserve"> на 2024-2030 годы</w:t>
      </w:r>
    </w:p>
    <w:p w:rsidR="00932741" w:rsidRPr="00932741" w:rsidRDefault="00932741" w:rsidP="00932741">
      <w:pPr>
        <w:suppressAutoHyphens/>
        <w:ind w:right="-29"/>
        <w:jc w:val="both"/>
        <w:rPr>
          <w:b/>
          <w:bCs/>
          <w:sz w:val="26"/>
          <w:szCs w:val="26"/>
          <w:u w:val="single"/>
        </w:rPr>
      </w:pPr>
    </w:p>
    <w:p w:rsidR="00932741" w:rsidRP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 xml:space="preserve">ПАСПОРТ </w:t>
      </w:r>
    </w:p>
    <w:p w:rsid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outlineLvl w:val="0"/>
              <w:rPr>
                <w:b/>
                <w:bCs/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Управление информатизации администрации Находкинского городского округа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МКУ "Хозяйственное управление"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/>
                <w:bCs/>
                <w:sz w:val="26"/>
                <w:szCs w:val="26"/>
              </w:rPr>
            </w:pPr>
            <w:r w:rsidRPr="00EF379F">
              <w:rPr>
                <w:rFonts w:eastAsia="Calibri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отдельные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Федеральный  закон  от  06  октября  2003  года № 131-ФЗ «Об общих принципах организации местного самоуправлении в Российской Федерации»;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Указ  Президента  Российской  Федерации  от   09 мая 2017 года № 203 «О Стратегии развития информационного общества в Российской Федерации на 2017 - 2030 годы»;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 xml:space="preserve">Указ Президента РФ от 07.05.2024 № 309 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«О национальных целях развития Российской Федерации на период до 2030 года и на перспективу до 2036 года»;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 xml:space="preserve">Указ Президента Российской Федерации от 28.11.2024 года № 1014 «Об оценке </w:t>
            </w:r>
            <w:proofErr w:type="gramStart"/>
            <w:r w:rsidRPr="00EF379F">
              <w:rPr>
                <w:sz w:val="26"/>
                <w:szCs w:val="2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EF379F">
              <w:rPr>
                <w:sz w:val="26"/>
                <w:szCs w:val="26"/>
              </w:rPr>
              <w:t xml:space="preserve"> и деятельности исполнительных органов субъектов Российской Федерации»;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Распоряжение Правительства Российской Федерации от 29 декабря 2014 года № 2769-р «Об утверждении Концепции региональной информатизации»;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Устав Находкинского городского округа;</w:t>
            </w:r>
          </w:p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 xml:space="preserve">решение Думы Находкинского городского округа </w:t>
            </w:r>
            <w:r w:rsidRPr="00EF379F">
              <w:rPr>
                <w:sz w:val="26"/>
                <w:szCs w:val="26"/>
              </w:rPr>
              <w:lastRenderedPageBreak/>
              <w:t>от 29 мая 2019 г. № 416-НПА «О Порядке материально-технического и организационного обеспечения деятельности органов местного самоуправления Находкинского городского округа;</w:t>
            </w:r>
          </w:p>
          <w:p w:rsidR="00EF379F" w:rsidRPr="00EF379F" w:rsidRDefault="00EF379F" w:rsidP="00EF379F">
            <w:pPr>
              <w:rPr>
                <w:b/>
                <w:bCs/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постановление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округе».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/>
                <w:bCs/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Достижение «цифровой зрелости» администрации Находкинского городского округа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numPr>
                <w:ilvl w:val="0"/>
                <w:numId w:val="19"/>
              </w:numPr>
              <w:tabs>
                <w:tab w:val="left" w:pos="-204"/>
                <w:tab w:val="left" w:pos="363"/>
              </w:tabs>
              <w:ind w:left="0" w:firstLine="222"/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Обеспечение функционирования и модернизация информационно-коммуникационной инфраструктуры администрации Находкинского городского округа.</w:t>
            </w:r>
          </w:p>
          <w:p w:rsidR="00EF379F" w:rsidRPr="00EF379F" w:rsidRDefault="00EF379F" w:rsidP="00EF379F">
            <w:pPr>
              <w:numPr>
                <w:ilvl w:val="0"/>
                <w:numId w:val="19"/>
              </w:numPr>
              <w:tabs>
                <w:tab w:val="left" w:pos="-204"/>
                <w:tab w:val="left" w:pos="363"/>
              </w:tabs>
              <w:ind w:left="0" w:firstLine="222"/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Обеспечение информационной безопасности в администрации Находкинского городского округа.</w:t>
            </w:r>
          </w:p>
          <w:p w:rsidR="00EF379F" w:rsidRPr="00EF379F" w:rsidRDefault="00EF379F" w:rsidP="00EF379F">
            <w:pPr>
              <w:numPr>
                <w:ilvl w:val="0"/>
                <w:numId w:val="19"/>
              </w:numPr>
              <w:tabs>
                <w:tab w:val="left" w:pos="-204"/>
                <w:tab w:val="left" w:pos="363"/>
              </w:tabs>
              <w:ind w:left="0" w:firstLine="222"/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Повышение качества и доступности предоставления муниципальных услуг.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/>
                <w:bCs/>
                <w:sz w:val="26"/>
                <w:szCs w:val="26"/>
              </w:rPr>
            </w:pPr>
            <w:r w:rsidRPr="00EF379F">
              <w:rPr>
                <w:rFonts w:eastAsia="Calibri"/>
                <w:sz w:val="26"/>
                <w:szCs w:val="26"/>
              </w:rPr>
              <w:t>Муниципальная программа реализуется в течение 2024-2030 годов в один этап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/>
                <w:bCs/>
                <w:sz w:val="26"/>
                <w:szCs w:val="26"/>
              </w:rPr>
            </w:pPr>
            <w:r w:rsidRPr="00EF379F">
              <w:rPr>
                <w:rFonts w:eastAsia="Calibri"/>
                <w:sz w:val="26"/>
                <w:szCs w:val="26"/>
              </w:rPr>
              <w:t>Перечень целевых показателей (индикаторов) отражен в Приложении № 2 к муниципальной программе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98 080,69 тыс. руб., в том числе по годам: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2024 г. – 16 568,85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2025 г. – 14 981,47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2026 г. – 13 726,98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2027 г. – 13 200,85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2028 г. – 13 200,85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2029 г. – 13 200,85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2030 г. – 13 200,85</w:t>
            </w:r>
            <w:r w:rsidRPr="00EF379F">
              <w:t xml:space="preserve"> </w:t>
            </w:r>
            <w:r w:rsidRPr="00EF379F">
              <w:rPr>
                <w:bCs/>
                <w:sz w:val="26"/>
                <w:szCs w:val="26"/>
              </w:rPr>
              <w:t>тыс. руб.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 xml:space="preserve">Ресурсное обеспечение </w:t>
            </w:r>
            <w:r w:rsidRPr="00EF379F">
              <w:rPr>
                <w:bCs/>
                <w:sz w:val="26"/>
                <w:szCs w:val="26"/>
              </w:rPr>
              <w:lastRenderedPageBreak/>
              <w:t>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EF379F">
              <w:rPr>
                <w:sz w:val="26"/>
                <w:szCs w:val="26"/>
              </w:rPr>
              <w:lastRenderedPageBreak/>
              <w:t xml:space="preserve">Общий объем ресурсного обеспечения </w:t>
            </w:r>
            <w:r w:rsidRPr="00EF379F">
              <w:rPr>
                <w:sz w:val="26"/>
                <w:szCs w:val="26"/>
              </w:rPr>
              <w:lastRenderedPageBreak/>
              <w:t xml:space="preserve">реализации муниципальной программы за счет средств бюджета Находкинского городского округа составляет </w:t>
            </w:r>
            <w:r w:rsidR="00C16A30">
              <w:rPr>
                <w:sz w:val="26"/>
                <w:szCs w:val="26"/>
              </w:rPr>
              <w:t>14 933,713</w:t>
            </w:r>
            <w:r w:rsidRPr="00EF379F">
              <w:rPr>
                <w:sz w:val="26"/>
                <w:szCs w:val="26"/>
              </w:rPr>
              <w:t xml:space="preserve"> тыс. руб., в том числе по годам: 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2024 г. – 8 333,391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2025 г. – 6 600,322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2026 г. – 0,00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2027 г. – 0,00</w:t>
            </w:r>
            <w:r w:rsidRPr="00EF379F">
              <w:rPr>
                <w:bCs/>
                <w:sz w:val="26"/>
                <w:szCs w:val="26"/>
              </w:rPr>
              <w:tab/>
              <w:t xml:space="preserve">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2028 г. – 0,00</w:t>
            </w:r>
            <w:r w:rsidRPr="00EF379F">
              <w:rPr>
                <w:bCs/>
                <w:sz w:val="26"/>
                <w:szCs w:val="26"/>
              </w:rPr>
              <w:tab/>
              <w:t xml:space="preserve"> тыс. руб.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 xml:space="preserve">2029 г. – 0,00 тыс. руб. </w:t>
            </w:r>
            <w:r w:rsidRPr="00EF379F">
              <w:rPr>
                <w:bCs/>
                <w:sz w:val="26"/>
                <w:szCs w:val="26"/>
              </w:rPr>
              <w:tab/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2030 г. – 0,00 тыс. руб.</w:t>
            </w:r>
          </w:p>
        </w:tc>
      </w:tr>
      <w:tr w:rsidR="00EF379F" w:rsidRPr="00EF379F" w:rsidTr="00EF379F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Доля выполнения заявок пользователей по вопросам поддержки информационных систем – 98%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Доля модернизированных автоматизированных рабочих мест пользователей – 65%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Стоимостная доля закупаемого, арендуемого отечественного программного обеспечения – 100%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 – ежегодно не менее 2-х человек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Доля защищенных автоматизированных рабочих мест – 100%.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>Доля аттестованных по требованиям защиты информации муниципальных информационных систем, содержащих информацию ограниченного доступа – 100%.</w:t>
            </w: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</w:p>
          <w:p w:rsidR="00EF379F" w:rsidRPr="00EF379F" w:rsidRDefault="00EF379F" w:rsidP="00EF379F">
            <w:pPr>
              <w:rPr>
                <w:bCs/>
                <w:sz w:val="26"/>
                <w:szCs w:val="26"/>
              </w:rPr>
            </w:pPr>
            <w:r w:rsidRPr="00EF379F">
              <w:rPr>
                <w:bCs/>
                <w:sz w:val="26"/>
                <w:szCs w:val="26"/>
              </w:rPr>
              <w:t xml:space="preserve"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 – 95% </w:t>
            </w:r>
          </w:p>
        </w:tc>
      </w:tr>
    </w:tbl>
    <w:p w:rsidR="00EF379F" w:rsidRDefault="00EF379F" w:rsidP="00932741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EF379F" w:rsidRDefault="00EF379F" w:rsidP="00932741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EF379F" w:rsidRPr="00932741" w:rsidRDefault="00EF379F" w:rsidP="00932741">
      <w:pPr>
        <w:suppressAutoHyphens/>
        <w:ind w:right="-29"/>
        <w:jc w:val="center"/>
        <w:rPr>
          <w:sz w:val="26"/>
          <w:szCs w:val="26"/>
        </w:rPr>
      </w:pPr>
    </w:p>
    <w:p w:rsidR="00A91D7F" w:rsidRPr="00341707" w:rsidRDefault="00A867ED" w:rsidP="00F648C6">
      <w:pPr>
        <w:pStyle w:val="afc"/>
        <w:widowControl w:val="0"/>
        <w:numPr>
          <w:ilvl w:val="3"/>
          <w:numId w:val="8"/>
        </w:numPr>
        <w:ind w:left="709" w:right="-29" w:hanging="283"/>
        <w:jc w:val="both"/>
        <w:rPr>
          <w:bCs/>
          <w:sz w:val="26"/>
          <w:szCs w:val="26"/>
        </w:rPr>
      </w:pPr>
      <w:r w:rsidRPr="00341707">
        <w:rPr>
          <w:bCs/>
          <w:sz w:val="26"/>
          <w:szCs w:val="26"/>
        </w:rPr>
        <w:lastRenderedPageBreak/>
        <w:t>Общая характеристика сферы реализации муниципальной программы (в том числе основных проблем).</w:t>
      </w:r>
    </w:p>
    <w:p w:rsidR="00A91D7F" w:rsidRDefault="00A91D7F" w:rsidP="00F648C6">
      <w:pPr>
        <w:widowControl w:val="0"/>
        <w:ind w:left="709" w:right="-29" w:hanging="283"/>
        <w:jc w:val="both"/>
        <w:rPr>
          <w:bCs/>
          <w:color w:val="000000" w:themeColor="text1"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Указом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Президента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Российской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Федерации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от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21.07.2020 </w:t>
      </w:r>
      <w:r w:rsidR="00341707">
        <w:rPr>
          <w:color w:val="000000" w:themeColor="text1"/>
          <w:sz w:val="26"/>
          <w:szCs w:val="26"/>
        </w:rPr>
        <w:t xml:space="preserve">  №</w:t>
      </w:r>
      <w:r>
        <w:rPr>
          <w:color w:val="000000" w:themeColor="text1"/>
          <w:sz w:val="26"/>
          <w:szCs w:val="26"/>
        </w:rPr>
        <w:t xml:space="preserve"> </w:t>
      </w:r>
      <w:r w:rsidR="0034170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474 </w:t>
      </w:r>
      <w:r w:rsidR="00341707"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>"О национальных целях развития Российской Федерации на период до 2030 года" в числе основных национальных целей и направлений развития Российской Федерации до 2030 года обозначена цифровая трансформация, в том числе достижение "цифровой зрелости" государственного и муниципального управления, обеспечение предоставления услуг в электронной форме.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«Цифровая зрелость», наиболее важный результат цифровой трансформации – это переход к принятию управленческих решений на основе данных, который достигается за счет комплекса мероприятий по следующим направлениям: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использование информационно-коммуникационных технологий для автоматизации процессов и повышения качества предоставления государственных (муниципальных) услуг и исполнения государственных (муниципальных) функций, в том числе с применением механизмов получения от граждан и организаций в электронном виде информации о качестве взаимодействия органами власти;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использование типовых информационно-технологических сервисов и единой сети передачи данных;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использование конкурентоспособных российских информационно-коммуникационных технологий и программного обеспечения;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власти;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д) повышение качества и обеспечение доступности информации о деятельности органов власти.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оперативного и эффективного обеспечения исполнения полномочий администрации Находкинского городского округа (далее - администрация) в соответствии с Федеральным законом от 6 октября 2003 года № 131-ФЗ «Об общих принципах организации местного самоуправления в Российской Федерации» необходимо совершенствование информационно-коммуникационной инфраструктуры.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Согласно Указ</w:t>
      </w:r>
      <w:r w:rsidR="00341707">
        <w:rPr>
          <w:sz w:val="26"/>
          <w:szCs w:val="26"/>
        </w:rPr>
        <w:t>у</w:t>
      </w:r>
      <w:r>
        <w:rPr>
          <w:sz w:val="26"/>
          <w:szCs w:val="26"/>
        </w:rPr>
        <w:t xml:space="preserve"> Президента Российской Федерации от 9 мая 2017 года № 203 «О Стратегии развития информационного общества в Российской Федерации на 2017 – 2030 годы», Указ</w:t>
      </w:r>
      <w:r w:rsidR="00341707">
        <w:rPr>
          <w:sz w:val="26"/>
          <w:szCs w:val="26"/>
        </w:rPr>
        <w:t>у</w:t>
      </w:r>
      <w:r>
        <w:rPr>
          <w:sz w:val="26"/>
          <w:szCs w:val="26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года», определены национальные цели развития Российской Федерации, субъектов Российской Федерации, органов местного самоуправления, одной из основной цели</w:t>
      </w:r>
      <w:proofErr w:type="gramEnd"/>
      <w:r>
        <w:rPr>
          <w:sz w:val="26"/>
          <w:szCs w:val="26"/>
        </w:rPr>
        <w:t xml:space="preserve"> является цифровая трансформация. 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в рамках достижения «цифровой зрелости» в администрации являются: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формирование эффективной системы управления на основе использования информационных коммуникационных технологий (далее – ИКТ);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повышение качества и эффективности взаимодействия органов администрации за счет использования ИКТ;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повышение доступности информации о деятельности администрации для граждан в целях организации эффективного информационного взаимодействия;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обеспечение комплексного управления внедрением ИКТ в администрации.</w:t>
      </w:r>
    </w:p>
    <w:p w:rsidR="00A91D7F" w:rsidRDefault="00A867ED" w:rsidP="00FD3938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в администрации созданы необходимые технологические и организационные условия для достижения цифровой зрелости и совершенствования работы администрации в области информационного взаимодействия на основе использования ИКТ. </w:t>
      </w:r>
    </w:p>
    <w:p w:rsidR="00A91D7F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Оснащенность компьютерной техникой рабочих мест администрации Находкинского городского округа составляет 100%. Создана и успешно функционирует единая компьютерная сеть, объединяющая 7 административных зданий и 96% компьютеров, установленных в органах администрации. К информационным ресурсам единой компьютерной сети обеспечивается доступ муниципальных учреждений. Все сотрудники администрации Находкинского городского округа, компьютеры которых подключены к компьютерной сети, к сети Интернет, используют для исполнения своих служебных обязанностей корпоративную электронную почту, имеют доступ к комплексу справочных информационно-правовых систем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 xml:space="preserve"> Регионы».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Устойчиво функционирует официальный сайт Находкинского городского </w:t>
      </w:r>
      <w:r>
        <w:rPr>
          <w:sz w:val="26"/>
          <w:szCs w:val="26"/>
        </w:rPr>
        <w:lastRenderedPageBreak/>
        <w:t>округа, на котором размещается информация о событиях в Находкинском городском округе, освещается работа администрации Находкинского городского округа в соответствии с Федеральным законом от 09 февраля 2009 года № 8-ФЗ  «Об обеспечении доступа к информации о деятельности государственных органов и органов местного самоуправления». Результаты ежегодного мониторинга показывают постоянный рост посещаемости официального сайта.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Находкинского городского округа для организации оперативного документооборота используется единая система электронного документооборота на базе </w:t>
      </w:r>
      <w:r>
        <w:rPr>
          <w:bCs/>
          <w:sz w:val="26"/>
          <w:szCs w:val="26"/>
        </w:rPr>
        <w:t xml:space="preserve">программного продукта </w:t>
      </w:r>
      <w:r>
        <w:rPr>
          <w:sz w:val="26"/>
          <w:szCs w:val="26"/>
        </w:rPr>
        <w:t>«DIRECTUM».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Настроено более 200 рабочих мест сотрудников, подключенных к системе.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Находкинском городском округе сформирована 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 Переведены в электронный вид 37 муниципальных услуг администрации Находкинского городского округа.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 создан собственный сегмент защищенной сети Приморского края.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качественного предоставления муниципальных услуг проведены организационные и технические мероприятия по подключению автоматизированных рабочих мест сотрудников к </w:t>
      </w:r>
      <w:r>
        <w:rPr>
          <w:bCs/>
          <w:sz w:val="26"/>
          <w:szCs w:val="26"/>
        </w:rPr>
        <w:t xml:space="preserve">защищенной сети передачи данных Приморского края и </w:t>
      </w:r>
      <w:r>
        <w:rPr>
          <w:sz w:val="26"/>
          <w:szCs w:val="26"/>
        </w:rPr>
        <w:t xml:space="preserve">информационным системам межведомственного электронного взаимодействия с государственными и региональными органами власти. </w:t>
      </w:r>
    </w:p>
    <w:p w:rsidR="00A91D7F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законодательством, в администрации Находкинского городского округа на постоянной основе проводятся мероприятия по технической защите информационных систем.</w:t>
      </w:r>
    </w:p>
    <w:p w:rsidR="00A91D7F" w:rsidRPr="007F7287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 w:rsidRPr="007F7287">
        <w:rPr>
          <w:sz w:val="26"/>
          <w:szCs w:val="26"/>
        </w:rPr>
        <w:t xml:space="preserve">Остаются задачи, требующие дальнейшего решения: оптимизация и повышение качества предоставления муниципальных услуг в электронном виде, переход на отечественное общесистемное программное обеспечение, развитие и модернизация информационно-коммуникационной инфраструктуры администрации, обеспечение </w:t>
      </w:r>
      <w:r w:rsidRPr="007F7287">
        <w:rPr>
          <w:sz w:val="26"/>
          <w:szCs w:val="26"/>
        </w:rPr>
        <w:lastRenderedPageBreak/>
        <w:t>безопасности информационных систем и ресурсов администрации.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условиях критической зависимости управленческих процессов от информационно-коммуникационных технологий необходимо обеспечивать бесперебойную и производительную работу используемой компьютерной техники, оргтехники, телекоммуникационного оборудования и информационных систем. Актуальной является проблема устаревания парка вычислительной и офисной техники. На сегодняшний день из используемого оборудования 50% компьютерной техники, 75% серверного оборудования и 60% организационной техники материально и функционально устарели (срок эксплуатации свыше 7 лет). В течение года в среднем выходит из строя и требует замены (в том числе отдельные запасные части) в среднем от 10 % до 15 % оборудования от общего количества. В связи с этим,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оборудования. Все приобретаемые компьютеры и серверное оборудование должны быть 100% обеспечены базовым комплектом лицензионного программного обеспечения (операционной системой, офисными приложениями, антивирусными программами).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2019 года начались работы по модернизации существующей компьютерной сети (которая была построена в 1997-2000 годах) в целях увеличения пропускной способности, быстродействия, возможности подключения новых пользователей, в том числе удаленных. На сегодняшний день необходимо продолжать модернизацию локальной вычислительной сети (далее – ЛВС) в связи с повышением информационной нагрузки и компьютерного парка, увеличением количества подключений. В процессе модернизации ЛВС необходимо заменять имеющееся сетевое коммуникационное оборудование современным с увеличенной пропускной способностью.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открытости деятельности администрации и организации информационного взаимодействия администрации с жителями Находкинского городского округа, создан официальный сайт Находкинского городского округа. Информация размещается в соответствии с Федеральным законом от 9 февраля 2009 года №8-ФЗ "Об обеспечении доступа к информации о деятельности государственных органов и органов местного самоуправления". Для увеличения посещаемости </w:t>
      </w:r>
      <w:r>
        <w:rPr>
          <w:sz w:val="26"/>
          <w:szCs w:val="26"/>
        </w:rPr>
        <w:lastRenderedPageBreak/>
        <w:t>официального сайта необходима его постоянная модернизация - это усовершенствование, изменение, улучшение его функциональных способностей до более современного уровня, в том числе изменение его внешнего вида, расширение функциональных возможностей.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Требуется ежегодное лицензирование, 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и прикладных программ.  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постоянным увеличением в органах администрации документооборота, увеличением запросов на автоматизацию процессов работы с различной документацией, сбор отчетности, адаптацию системы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исполнительской дисциплиной, на сегодняшний день существует необходимость дальнейшего развития автоматизации управленческих процессов в СЭД DIRECTUM.  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 требованиями  Федерального  закона от 27 июля 2010 года      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большее количество управленческих решений органами власти принимается на основании автоматизированной обработки информации, содержащейся в информационных системах органов власти, и, следовательно, все большее значение приобретает обеспечение защиты данной информации от несанкционированного доступа и иных вредоносных воздействий. </w:t>
      </w:r>
    </w:p>
    <w:p w:rsidR="00A91D7F" w:rsidRPr="007F7287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 w:rsidRPr="007F7287">
        <w:rPr>
          <w:sz w:val="26"/>
          <w:szCs w:val="26"/>
        </w:rPr>
        <w:t xml:space="preserve">Создание современной информационно-телекоммуникационной </w:t>
      </w:r>
      <w:r w:rsidRPr="007F7287">
        <w:rPr>
          <w:sz w:val="26"/>
          <w:szCs w:val="26"/>
        </w:rPr>
        <w:lastRenderedPageBreak/>
        <w:t>инфраструктуры администрации, соответствующей требованиям законодательства в области информационной безопасности, является необходимым условием цифровой трансформации.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Защита информации является неотъемлемой составной частью основной деятельности администрации, направленной на повышение эффективности ее деятельности, обеспечение прав и свобод граждан, в том числе защиту прав на неприкосновенность частной жизни, личную и семейную тайну, на получение достоверной информации о деятельности администрации. С этой целью необходимо обеспечить выполнение всех требований действующего законодательства в сфере защиты информации.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защиты информации в процессе ее обработки в государственных, муниципальных информационных системах, информационных системах персональных данных должны выполнят</w:t>
      </w:r>
      <w:r w:rsidR="00123DDE">
        <w:rPr>
          <w:sz w:val="26"/>
          <w:szCs w:val="26"/>
        </w:rPr>
        <w:t>ь</w:t>
      </w:r>
      <w:r>
        <w:rPr>
          <w:sz w:val="26"/>
          <w:szCs w:val="26"/>
        </w:rPr>
        <w:t xml:space="preserve">ся </w:t>
      </w:r>
      <w:proofErr w:type="gramStart"/>
      <w:r>
        <w:rPr>
          <w:sz w:val="26"/>
          <w:szCs w:val="26"/>
        </w:rPr>
        <w:t>требования</w:t>
      </w:r>
      <w:proofErr w:type="gramEnd"/>
      <w:r>
        <w:rPr>
          <w:sz w:val="26"/>
          <w:szCs w:val="26"/>
        </w:rPr>
        <w:t xml:space="preserve"> установленные Федеральным законом от 27 июля 2006 года № 149-ФЗ «Об информации, информационных технологиях и о защите информации», Федеральным законом от 27 июля 2006 года № 152-ФЗ «О персональных данных», приказом Федеральной службы по техническому и экспортному контролю России от 11 </w:t>
      </w:r>
      <w:proofErr w:type="gramStart"/>
      <w:r>
        <w:rPr>
          <w:sz w:val="26"/>
          <w:szCs w:val="26"/>
        </w:rPr>
        <w:t>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приказом Федеральной службы по техническому и экспортному контролю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  <w:proofErr w:type="gramEnd"/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Выполнить требования действующего законодательства по защите инфор</w:t>
      </w:r>
      <w:r w:rsidR="00016171">
        <w:rPr>
          <w:sz w:val="26"/>
          <w:szCs w:val="26"/>
        </w:rPr>
        <w:t>мации в информационных системах</w:t>
      </w:r>
      <w:r>
        <w:rPr>
          <w:sz w:val="26"/>
          <w:szCs w:val="26"/>
        </w:rPr>
        <w:t xml:space="preserve"> возможно только при ежегодном обновлении программных и аппаратных средств защиты информации, проведении работ по аттестации и инструментальному контролю объектов информатизации.</w:t>
      </w:r>
    </w:p>
    <w:p w:rsidR="00A91D7F" w:rsidRPr="007F7287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Задачи, стоящие перед администрацией в рамках развития ИКТ, требуют постоянного повышения уровня квалификации кадрового состава в области информатизации и информационной безопасности. Для этого необходимо планирование проведения различных обучающих семинаров и курсов повышения квалификации.</w:t>
      </w:r>
      <w:r w:rsidR="007F7287" w:rsidRPr="007F7287">
        <w:rPr>
          <w:color w:val="FF0000"/>
          <w:sz w:val="26"/>
          <w:szCs w:val="26"/>
        </w:rPr>
        <w:t xml:space="preserve"> </w:t>
      </w:r>
      <w:r w:rsidR="007F7287" w:rsidRPr="007F7287">
        <w:rPr>
          <w:sz w:val="26"/>
          <w:szCs w:val="26"/>
        </w:rPr>
        <w:t xml:space="preserve">Это можно считать одним из сопутствующих мероприятий </w:t>
      </w:r>
      <w:r w:rsidR="007F7287" w:rsidRPr="007F7287">
        <w:rPr>
          <w:sz w:val="26"/>
          <w:szCs w:val="26"/>
        </w:rPr>
        <w:lastRenderedPageBreak/>
        <w:t>направления национальной программы «Цифровая экономика» - формирование системы подготовки кадров.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особенно актуальны вопросы достижения максимального социально-экономического эффекта при реализации мероприятий по созданию и развитию информационно-коммуникационных технологий. Это возможно реализовать только в рамках программного целевого метода.</w:t>
      </w:r>
    </w:p>
    <w:p w:rsidR="00A91D7F" w:rsidRDefault="00A867ED" w:rsidP="00FD393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не будут обновляться лицензии программных средств и средств зашиты, показатели Программы не </w:t>
      </w:r>
      <w:proofErr w:type="gramStart"/>
      <w:r>
        <w:rPr>
          <w:sz w:val="26"/>
          <w:szCs w:val="26"/>
        </w:rPr>
        <w:t>будут</w:t>
      </w:r>
      <w:proofErr w:type="gramEnd"/>
      <w:r>
        <w:rPr>
          <w:sz w:val="26"/>
          <w:szCs w:val="26"/>
        </w:rPr>
        <w:t xml:space="preserve"> достигнут в полном объеме, что приведет к невыполнению требований Федеральных законов от 06 октября 2003г. № 131-ФЗ     «Об общих принципах организации местного самоуправления в Российской </w:t>
      </w:r>
      <w:proofErr w:type="gramStart"/>
      <w:r>
        <w:rPr>
          <w:sz w:val="26"/>
          <w:szCs w:val="26"/>
        </w:rPr>
        <w:t>Федерации», от 27.07.2010г. № 210-ФЗ «Об организации предоставления государственных и муниципальных услуг», от 9 февраля 2009 г. № 8-ФЗ                   «Об обеспечении доступа к информации о деятельности государственных органов и органов местного самоуправления», от 27 июля 2006 г. № 152-ФЗ «О персональных данных», Указа Президента Российской Федерации от 17 марта 2008 г. № 351           «О мерах по обеспечению информационной безопасности Российской Федерации при использовании</w:t>
      </w:r>
      <w:proofErr w:type="gramEnd"/>
      <w:r>
        <w:rPr>
          <w:sz w:val="26"/>
          <w:szCs w:val="26"/>
        </w:rPr>
        <w:t xml:space="preserve"> информационно-телекоммуникационных сетей международного информационного обмена». 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Сроки и этапы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Программа действует с 2024 года по 2030 год. </w:t>
      </w: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Программы осуществляется в один этап.</w:t>
      </w:r>
    </w:p>
    <w:p w:rsidR="00A91D7F" w:rsidRDefault="00A91D7F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Целевые показатели (индикаторы) с расшифровкой плановых значений по годам и этапам ее реализации.</w:t>
      </w:r>
    </w:p>
    <w:p w:rsidR="00A91D7F" w:rsidRPr="00016171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целевых индикаторах и показателях Программы с расшифровкой плановых значений по годам и этапам ее реализации приведены в приложении № 1.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целей и задач Программы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07"/>
        <w:gridCol w:w="3402"/>
        <w:gridCol w:w="2611"/>
      </w:tblGrid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</w:t>
            </w:r>
          </w:p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выполнения заявок пользователей по вопросам поддержки информационных систем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IЦ1=К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/К2,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= количество заявок пользователей по вопросам поддержки информационных систем в текущем году;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= количество выполненных заявок пользователей по вопросам поддержки информационных систем в текущем году.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 «Заявки» управления информатизации; заявки, направленные через систему электронного документооборота в адрес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модернизированных автоматизированных рабочих мест пользователей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Ц2=К3/К4,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К3 = количество автоматизированных рабочих мест, требующих модернизации; 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= количество модернизированных автоматизированных рабочих мест.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бухгалтерского</w:t>
            </w:r>
            <w:proofErr w:type="gramEnd"/>
            <w:r>
              <w:rPr>
                <w:sz w:val="26"/>
                <w:szCs w:val="26"/>
              </w:rPr>
              <w:t xml:space="preserve"> учета и отчетности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Стоимостная доля закупаемого, арендуемого отечественного программного обеспечения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IЦ3=К5К6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К5 = затраты на приобретение российского программного обеспечения;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  <w:r>
              <w:rPr>
                <w:sz w:val="26"/>
                <w:szCs w:val="26"/>
              </w:rPr>
              <w:t xml:space="preserve"> = затраты на приобретение программного обеспечения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бухгалтерского</w:t>
            </w:r>
            <w:proofErr w:type="gramEnd"/>
            <w:r>
              <w:rPr>
                <w:sz w:val="26"/>
                <w:szCs w:val="26"/>
              </w:rPr>
              <w:t xml:space="preserve"> учета и отчетности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защищенных автоматизированных рабочих мест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Ц4=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8,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 xml:space="preserve"> – количество защищенных автоматизированных рабочих мест; 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К8 - количество автоматизированных рабочих мест, на которых ведется обработка </w:t>
            </w:r>
            <w:r>
              <w:rPr>
                <w:sz w:val="26"/>
                <w:szCs w:val="26"/>
              </w:rPr>
              <w:lastRenderedPageBreak/>
              <w:t>информации ограниченного доступа.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Ц5=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9/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10,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9</w:t>
            </w:r>
            <w:proofErr w:type="gramEnd"/>
            <w:r>
              <w:rPr>
                <w:sz w:val="26"/>
                <w:szCs w:val="26"/>
              </w:rPr>
              <w:t xml:space="preserve"> – количество аттестованных муниципальных информационных систем, содержащих информацию ограниченного доступа;</w:t>
            </w:r>
            <w:r>
              <w:rPr>
                <w:sz w:val="26"/>
                <w:szCs w:val="26"/>
              </w:rPr>
              <w:tab/>
            </w:r>
          </w:p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К10 - количество муниципальных информационных систем, содержащих информацию ограниченного доступа, требующих аттестации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207" w:type="dxa"/>
            <w:shd w:val="clear" w:color="auto" w:fill="auto"/>
          </w:tcPr>
          <w:p w:rsidR="00A91D7F" w:rsidRDefault="00EF6CAD" w:rsidP="00FD3938">
            <w:pPr>
              <w:widowControl w:val="0"/>
              <w:ind w:right="-28"/>
              <w:rPr>
                <w:sz w:val="26"/>
                <w:szCs w:val="26"/>
              </w:rPr>
            </w:pPr>
            <w:r w:rsidRPr="00EF6CAD">
              <w:rPr>
                <w:sz w:val="26"/>
                <w:szCs w:val="26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IЦ6=K11/K12,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К11 - количество муниципальных услуг, </w:t>
            </w:r>
            <w:r w:rsidR="00EF6CAD" w:rsidRPr="00EF6CAD">
              <w:rPr>
                <w:sz w:val="26"/>
                <w:szCs w:val="26"/>
              </w:rPr>
              <w:t>доступных в электронном виде, предоставляемых с использованием Единого портала государственных и муниципальных услуг</w:t>
            </w:r>
            <w:r>
              <w:rPr>
                <w:sz w:val="26"/>
                <w:szCs w:val="26"/>
              </w:rPr>
              <w:t>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К12 - общее количество муниципальных услуг, предоставляемых администрацией НГО</w:t>
            </w:r>
            <w:r w:rsidR="00EF6CAD">
              <w:rPr>
                <w:sz w:val="26"/>
                <w:szCs w:val="26"/>
              </w:rPr>
              <w:t xml:space="preserve"> </w:t>
            </w:r>
            <w:r w:rsidR="00EF6CAD" w:rsidRPr="00EF6CAD">
              <w:rPr>
                <w:sz w:val="26"/>
                <w:szCs w:val="26"/>
              </w:rPr>
              <w:t>в электронном виде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:rsidR="00A91D7F" w:rsidRDefault="00EF6CAD" w:rsidP="00FD3938">
            <w:pPr>
              <w:widowControl w:val="0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 «Управление»</w:t>
            </w:r>
          </w:p>
        </w:tc>
      </w:tr>
    </w:tbl>
    <w:p w:rsidR="00A91D7F" w:rsidRDefault="00A91D7F" w:rsidP="00FD3938">
      <w:pPr>
        <w:pStyle w:val="afc"/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Механизм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Находкинского городского округа на финансирование Программы на очередной год.</w:t>
      </w:r>
    </w:p>
    <w:p w:rsidR="00A91D7F" w:rsidRDefault="00A867ED" w:rsidP="00FD3938">
      <w:pPr>
        <w:widowControl w:val="0"/>
        <w:spacing w:line="360" w:lineRule="auto"/>
        <w:ind w:right="-28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Ответственный исполнитель – управление информатизации администрации Находкинского городского округа: </w:t>
      </w:r>
    </w:p>
    <w:p w:rsidR="00016171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организует реализацию Программы;</w:t>
      </w:r>
    </w:p>
    <w:p w:rsidR="00A91D7F" w:rsidRPr="00016171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проводит оценку эффективности реализации муниципальной программы;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ежеквартально осуществляет мониторинг реализации муниципальной программы; 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– годовой отчет), итоговый отчет за весь период реализации муниципальной программы (далее – итоговый отчет) и представляет их в управление экономики</w:t>
      </w:r>
      <w:r w:rsidR="00016171">
        <w:rPr>
          <w:bCs/>
          <w:sz w:val="26"/>
          <w:szCs w:val="26"/>
        </w:rPr>
        <w:t xml:space="preserve"> и инвестиций администрации</w:t>
      </w:r>
      <w:r>
        <w:rPr>
          <w:bCs/>
          <w:sz w:val="26"/>
          <w:szCs w:val="26"/>
        </w:rPr>
        <w:t>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1D7F" w:rsidRDefault="00A91D7F" w:rsidP="00FD3938">
      <w:pPr>
        <w:pStyle w:val="afc"/>
        <w:widowControl w:val="0"/>
        <w:tabs>
          <w:tab w:val="left" w:pos="1134"/>
        </w:tabs>
        <w:spacing w:line="360" w:lineRule="auto"/>
        <w:ind w:left="851" w:right="-29"/>
        <w:jc w:val="both"/>
        <w:rPr>
          <w:bCs/>
          <w:sz w:val="26"/>
          <w:szCs w:val="26"/>
        </w:rPr>
      </w:pPr>
    </w:p>
    <w:p w:rsidR="00A91D7F" w:rsidRPr="00FD3938" w:rsidRDefault="00A867ED" w:rsidP="00FD3938">
      <w:pPr>
        <w:pStyle w:val="afc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right="-29"/>
        <w:jc w:val="both"/>
        <w:rPr>
          <w:bCs/>
          <w:sz w:val="26"/>
          <w:szCs w:val="26"/>
        </w:rPr>
      </w:pPr>
      <w:r w:rsidRPr="00FD3938">
        <w:rPr>
          <w:bCs/>
          <w:sz w:val="26"/>
          <w:szCs w:val="26"/>
        </w:rPr>
        <w:t>Механизм реализации мероприятий Программы.</w:t>
      </w:r>
    </w:p>
    <w:p w:rsidR="00FD3938" w:rsidRDefault="00FD3938" w:rsidP="00FD3938">
      <w:pPr>
        <w:widowControl w:val="0"/>
        <w:tabs>
          <w:tab w:val="left" w:pos="1134"/>
        </w:tabs>
        <w:ind w:right="-29" w:firstLine="70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 обеспечению функционирования и модернизации информационно-коммуникационной инфраструктуры администрации Находкинского городского округа реализуются по следующим направлениям:</w:t>
      </w:r>
    </w:p>
    <w:p w:rsidR="00A91D7F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Обеспечение бесперебойной работы компьютерной и оргтехники предусматривает непрерывное обслуживание рабочих мест сотрудников. Работы по устранению сбоев и техническому обслуживанию компьютеров, серверов, принтеров, копировально-множительной техники выполняются управлением информатизации. Услуги по заправке и восстановлению картриджей для принтеров, по техническому обслуживанию копировально-множительной техники с непрерывным циклом работы, по ремонту принтеров, ремонту и профилактике копировальных аппаратов </w:t>
      </w:r>
      <w:r w:rsidR="00A6048A">
        <w:rPr>
          <w:bCs/>
          <w:sz w:val="26"/>
          <w:szCs w:val="26"/>
        </w:rPr>
        <w:t>и многофункциональных устрой</w:t>
      </w:r>
      <w:proofErr w:type="gramStart"/>
      <w:r w:rsidR="00A6048A">
        <w:rPr>
          <w:bCs/>
          <w:sz w:val="26"/>
          <w:szCs w:val="26"/>
        </w:rPr>
        <w:t xml:space="preserve">ств </w:t>
      </w:r>
      <w:r w:rsidRPr="00016171">
        <w:rPr>
          <w:bCs/>
          <w:sz w:val="26"/>
          <w:szCs w:val="26"/>
        </w:rPr>
        <w:t>тр</w:t>
      </w:r>
      <w:proofErr w:type="gramEnd"/>
      <w:r w:rsidRPr="00016171">
        <w:rPr>
          <w:bCs/>
          <w:sz w:val="26"/>
          <w:szCs w:val="26"/>
        </w:rPr>
        <w:t xml:space="preserve">ебуют привлечения сторонних организаций, обязательного финансирования и заключения муниципальных контрактов. 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Приобретение компьютерной и оргтехники, телекоммуникационного оборудования предусматривает обязательное финансирование и заключение муниципальных контрактов. Наименование и количество оборудования определяет управлени</w:t>
      </w:r>
      <w:r w:rsidR="00016171" w:rsidRPr="00016171">
        <w:rPr>
          <w:bCs/>
          <w:sz w:val="26"/>
          <w:szCs w:val="26"/>
        </w:rPr>
        <w:t>е</w:t>
      </w:r>
      <w:r w:rsidRPr="00016171">
        <w:rPr>
          <w:bCs/>
          <w:sz w:val="26"/>
          <w:szCs w:val="26"/>
        </w:rPr>
        <w:t xml:space="preserve"> информатизации на основании заявок органов администрации и ежегодного мониторинга состояния износа технических средств.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Развитие и модернизация компьютерной сети предусматривает проведение работ по восстановлению существующих линий компьютерной сети, по обслуживанию телекоммуникационного оборудования, по обеспечению </w:t>
      </w:r>
      <w:r w:rsidRPr="00016171">
        <w:rPr>
          <w:bCs/>
          <w:sz w:val="26"/>
          <w:szCs w:val="26"/>
        </w:rPr>
        <w:lastRenderedPageBreak/>
        <w:t xml:space="preserve">бесперебойной работы сетевого оборудования. Эти работы осуществляются сотрудниками управления информатизации, и финансирования не требуют. В случаях модернизации или построения новых сегментов сети,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</w:t>
      </w:r>
      <w:r w:rsidR="00940025" w:rsidRPr="00016171">
        <w:rPr>
          <w:bCs/>
          <w:sz w:val="26"/>
          <w:szCs w:val="26"/>
        </w:rPr>
        <w:t xml:space="preserve">привлечение сторонних организаций, обязательное финансирование и заключение муниципальных контрактов. </w:t>
      </w:r>
    </w:p>
    <w:p w:rsidR="00A91D7F" w:rsidRPr="00016171" w:rsidRDefault="00016171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П</w:t>
      </w:r>
      <w:r w:rsidR="00A867ED" w:rsidRPr="00016171">
        <w:rPr>
          <w:bCs/>
          <w:sz w:val="26"/>
          <w:szCs w:val="26"/>
        </w:rPr>
        <w:t xml:space="preserve">риобретение лицензионного программного обеспечения, развитие и обеспечение эксплуатации информационных систем, официального сайта администрации является одним из основных мероприятий Программы.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ab/>
        <w:t xml:space="preserve">Лицензионное </w:t>
      </w:r>
      <w:r>
        <w:rPr>
          <w:bCs/>
          <w:sz w:val="26"/>
          <w:szCs w:val="26"/>
        </w:rPr>
        <w:t>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программные средства, необходимые для работы WEB-сервера и официального сайта Находкинского городского округа,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антивирусное программное обеспечение,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8" w:firstLine="709"/>
        <w:jc w:val="both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Приобретение (обновление) лицензионного программного обеспечения является обязательным мероприятием, требующим финансирования, последствия невыполнения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управления информатизации на основании потребностей информационно-коммуникационной системы в целом и на основании заявок органов администрации.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8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lastRenderedPageBreak/>
        <w:t xml:space="preserve">Развитие и обеспечение эксплуатации системы электронного документооборота администрации округа предусматривает ежегодное обновление программного продукта </w:t>
      </w:r>
      <w:proofErr w:type="spellStart"/>
      <w:r>
        <w:rPr>
          <w:bCs/>
          <w:sz w:val="26"/>
          <w:szCs w:val="26"/>
        </w:rPr>
        <w:t>Directum</w:t>
      </w:r>
      <w:proofErr w:type="spellEnd"/>
      <w:r>
        <w:rPr>
          <w:bCs/>
          <w:sz w:val="26"/>
          <w:szCs w:val="26"/>
        </w:rPr>
        <w:t>, на базе которого создана система электронного документооборота администрации, перевод системы на новую версию для оптимизации системы и устранения ошибок, выполнение 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  <w:proofErr w:type="gramEnd"/>
    </w:p>
    <w:p w:rsidR="00A91D7F" w:rsidRPr="00016171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WEB-сервера, обновление серверных компонент, внесение изменений в структуру сайта, создание новых разделов, новых страниц, </w:t>
      </w:r>
      <w:r w:rsidRPr="00016171">
        <w:rPr>
          <w:bCs/>
          <w:sz w:val="26"/>
          <w:szCs w:val="26"/>
        </w:rPr>
        <w:t xml:space="preserve">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nakhodka-city.ru и </w:t>
      </w:r>
      <w:proofErr w:type="spellStart"/>
      <w:r w:rsidRPr="00016171">
        <w:rPr>
          <w:bCs/>
          <w:sz w:val="26"/>
          <w:szCs w:val="26"/>
        </w:rPr>
        <w:t>находка</w:t>
      </w:r>
      <w:proofErr w:type="gramStart"/>
      <w:r w:rsidRPr="00016171">
        <w:rPr>
          <w:bCs/>
          <w:sz w:val="26"/>
          <w:szCs w:val="26"/>
        </w:rPr>
        <w:t>.р</w:t>
      </w:r>
      <w:proofErr w:type="gramEnd"/>
      <w:r w:rsidRPr="00016171">
        <w:rPr>
          <w:bCs/>
          <w:sz w:val="26"/>
          <w:szCs w:val="26"/>
        </w:rPr>
        <w:t>ф</w:t>
      </w:r>
      <w:proofErr w:type="spellEnd"/>
      <w:r w:rsidRPr="00016171">
        <w:rPr>
          <w:bCs/>
          <w:sz w:val="26"/>
          <w:szCs w:val="26"/>
        </w:rPr>
        <w:t>.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Обучение сотрудников администрации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 предусматривает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 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</w:t>
      </w:r>
    </w:p>
    <w:p w:rsid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Оказание услуг по аттестации и ежегодному инструментальному контролю объектов информатизации </w:t>
      </w:r>
      <w:r w:rsidR="00940025" w:rsidRPr="00016171">
        <w:rPr>
          <w:bCs/>
          <w:sz w:val="26"/>
          <w:szCs w:val="26"/>
        </w:rPr>
        <w:t>администрации</w:t>
      </w:r>
      <w:r w:rsidRPr="00016171">
        <w:rPr>
          <w:bCs/>
          <w:sz w:val="26"/>
          <w:szCs w:val="26"/>
        </w:rPr>
        <w:t>, по установке и настройки средств защиты информации, по созданию и выдаче сертификатов ключей проверки электронных подписей</w:t>
      </w:r>
      <w:r w:rsidR="007F7287" w:rsidRPr="00016171">
        <w:rPr>
          <w:bCs/>
          <w:sz w:val="26"/>
          <w:szCs w:val="26"/>
        </w:rPr>
        <w:t xml:space="preserve"> предусматривают </w:t>
      </w:r>
      <w:r w:rsidR="00A61184" w:rsidRPr="00016171">
        <w:rPr>
          <w:bCs/>
          <w:sz w:val="26"/>
          <w:szCs w:val="26"/>
        </w:rPr>
        <w:t>привлечения сторонних организаций, у которых есть лицензия от ФСТЭК на деятельность по технической защите конфиденциальной информации, обязательного финансирования и заключения муниципальных контрактов.</w:t>
      </w:r>
    </w:p>
    <w:p w:rsidR="000246D5" w:rsidRDefault="000246D5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lastRenderedPageBreak/>
        <w:t xml:space="preserve"> </w:t>
      </w:r>
      <w:r w:rsidR="00A867ED" w:rsidRPr="000246D5">
        <w:rPr>
          <w:bCs/>
          <w:sz w:val="26"/>
          <w:szCs w:val="26"/>
        </w:rPr>
        <w:t>Приобретение аппаратных, аппаратно-программных, программных средств защиты информации предусматривают обновление сре</w:t>
      </w:r>
      <w:proofErr w:type="gramStart"/>
      <w:r w:rsidR="00A867ED" w:rsidRPr="000246D5">
        <w:rPr>
          <w:bCs/>
          <w:sz w:val="26"/>
          <w:szCs w:val="26"/>
        </w:rPr>
        <w:t>дств кр</w:t>
      </w:r>
      <w:proofErr w:type="gramEnd"/>
      <w:r w:rsidR="00A867ED" w:rsidRPr="000246D5">
        <w:rPr>
          <w:bCs/>
          <w:sz w:val="26"/>
          <w:szCs w:val="26"/>
        </w:rPr>
        <w:t xml:space="preserve">иптозащиты и сертификатов электронной цифровой подписи для обеспечения непрерывной работы рабочих мест, подключенных </w:t>
      </w:r>
      <w:bookmarkStart w:id="0" w:name="_Hlk141537504"/>
      <w:r w:rsidR="00A867ED" w:rsidRPr="000246D5">
        <w:rPr>
          <w:bCs/>
          <w:sz w:val="26"/>
          <w:szCs w:val="26"/>
        </w:rPr>
        <w:t>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</w:t>
      </w:r>
      <w:bookmarkEnd w:id="0"/>
      <w:r w:rsidR="00A867ED" w:rsidRPr="000246D5">
        <w:rPr>
          <w:bCs/>
          <w:sz w:val="26"/>
          <w:szCs w:val="26"/>
        </w:rPr>
        <w:t xml:space="preserve"> и требуют обязательного финансирования. Мероприятия по обеспечению технической защиты информации в информационных системах являются обязательными, последствия невыполнения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A91D7F" w:rsidRPr="000246D5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 xml:space="preserve">Интеграция в региональные и федеральные информационные системы (ПГС, </w:t>
      </w:r>
      <w:proofErr w:type="gramStart"/>
      <w:r w:rsidRPr="000246D5">
        <w:rPr>
          <w:bCs/>
          <w:sz w:val="26"/>
          <w:szCs w:val="26"/>
        </w:rPr>
        <w:t>ПОС</w:t>
      </w:r>
      <w:proofErr w:type="gramEnd"/>
      <w:r w:rsidRPr="000246D5">
        <w:rPr>
          <w:bCs/>
          <w:sz w:val="26"/>
          <w:szCs w:val="26"/>
        </w:rPr>
        <w:t>, РПГУ, РИСОГД и т.д.) предполагает дооснащение информационных систем администрации и рабочих мест сотрудников, оказывающих услуги в электронном виде, до уровня, позволяющего подключиться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Все мероприятия Программы выполняются в течение всего года, без определенной очередности.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  № 44-ФЗ «О контрактной системе в сфере закупок товаров, работ, услуг для обеспечения государственных и муниципальных нужд».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</w:t>
      </w:r>
    </w:p>
    <w:p w:rsidR="00A91D7F" w:rsidRDefault="00A91D7F" w:rsidP="00FD3938">
      <w:pPr>
        <w:widowControl w:val="0"/>
        <w:spacing w:line="360" w:lineRule="auto"/>
        <w:ind w:right="-29"/>
        <w:jc w:val="both"/>
        <w:rPr>
          <w:bCs/>
          <w:sz w:val="26"/>
          <w:szCs w:val="26"/>
        </w:rPr>
      </w:pPr>
    </w:p>
    <w:p w:rsidR="00A91D7F" w:rsidRPr="000246D5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>Прогнозная оценка расходов Программы.</w:t>
      </w:r>
    </w:p>
    <w:p w:rsidR="00A91D7F" w:rsidRDefault="00A91D7F" w:rsidP="00FD3938">
      <w:pPr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A91D7F" w:rsidRDefault="00A91D7F" w:rsidP="00FD3938">
      <w:pPr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Pr="000246D5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>Ресурсное обеспечение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A91D7F" w:rsidRDefault="00A91D7F" w:rsidP="00FD3938">
      <w:pPr>
        <w:widowControl w:val="0"/>
        <w:ind w:left="709" w:right="-29"/>
        <w:jc w:val="both"/>
        <w:rPr>
          <w:sz w:val="26"/>
          <w:szCs w:val="26"/>
        </w:rPr>
      </w:pPr>
    </w:p>
    <w:p w:rsidR="00A91D7F" w:rsidRPr="000246D5" w:rsidRDefault="00A867ED" w:rsidP="00FD3938">
      <w:pPr>
        <w:pStyle w:val="ConsPlusNormal"/>
        <w:widowControl w:val="0"/>
        <w:numPr>
          <w:ilvl w:val="0"/>
          <w:numId w:val="8"/>
        </w:numPr>
        <w:jc w:val="both"/>
        <w:rPr>
          <w:bCs/>
          <w:color w:val="000000" w:themeColor="text1"/>
        </w:rPr>
      </w:pPr>
      <w:r w:rsidRPr="000246D5">
        <w:rPr>
          <w:bCs/>
          <w:color w:val="000000" w:themeColor="text1"/>
        </w:rPr>
        <w:t>Методика оценки эффективности Программы</w:t>
      </w:r>
    </w:p>
    <w:p w:rsidR="00A91D7F" w:rsidRDefault="00A91D7F" w:rsidP="00FD3938">
      <w:pPr>
        <w:pStyle w:val="ConsPlusNormal"/>
        <w:widowControl w:val="0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 Оценка эффективности реализации Программы проводится на основе оценок по трем критериям: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степени достижения целей и решения задач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степени соответствия запланированному уровню затрат;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степени реализации мероприятий Программы.</w:t>
      </w:r>
    </w:p>
    <w:p w:rsidR="00A91D7F" w:rsidRDefault="00A91D7F" w:rsidP="00FD3938">
      <w:pPr>
        <w:pStyle w:val="ConsPlusNormal"/>
        <w:widowControl w:val="0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numPr>
          <w:ilvl w:val="2"/>
          <w:numId w:val="13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Оценка степени достижения целей и решения задач Программы.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34"/>
        </w:rPr>
        <w:drawing>
          <wp:inline distT="0" distB="0" distL="0" distR="0" wp14:anchorId="320FBC95" wp14:editId="20C26B36">
            <wp:extent cx="876300" cy="542925"/>
            <wp:effectExtent l="0" t="0" r="0" b="0"/>
            <wp:docPr id="1" name="Рисунок 1" descr="base_23572_87211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21786" name="Picture 1" descr="base_23572_87211_8"/>
                    <pic:cNvPicPr>
                      <a:picLocks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7629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2"/>
        </w:rPr>
        <w:drawing>
          <wp:inline distT="0" distB="0" distL="0" distR="0" wp14:anchorId="5D97AA3E" wp14:editId="1E6AEC22">
            <wp:extent cx="238125" cy="247650"/>
            <wp:effectExtent l="0" t="0" r="0" b="0"/>
            <wp:docPr id="2" name="Рисунок 2" descr="base_23572_87211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04225" name="Picture 2" descr="base_23572_87211_9"/>
                    <pic:cNvPicPr>
                      <a:picLocks noChangeArrowheads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- степень достижения планового значения целевого показателя </w:t>
      </w:r>
      <w:r>
        <w:rPr>
          <w:color w:val="000000" w:themeColor="text1"/>
        </w:rPr>
        <w:lastRenderedPageBreak/>
        <w:t>(индикатора), характеризующего цели и задачи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6"/>
        </w:rPr>
        <w:drawing>
          <wp:inline distT="0" distB="0" distL="0" distR="0" wp14:anchorId="06F1A581" wp14:editId="7F66EE79">
            <wp:extent cx="390525" cy="276225"/>
            <wp:effectExtent l="0" t="0" r="0" b="0"/>
            <wp:docPr id="3" name="Рисунок 3" descr="base_23572_87211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09266" name="Picture 3" descr="base_23572_87211_10"/>
                    <pic:cNvPicPr>
                      <a:picLocks noChangeArrowheads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факт - фактическое значение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целевого показателя (индикатора)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drawing>
          <wp:inline distT="0" distB="0" distL="0" distR="0" wp14:anchorId="2AD78308" wp14:editId="28CA931D">
            <wp:extent cx="390525" cy="266700"/>
            <wp:effectExtent l="0" t="0" r="0" b="0"/>
            <wp:docPr id="4" name="Рисунок 4" descr="base_23572_87211_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21321" name="Picture 4" descr="base_23572_87211_11"/>
                    <pic:cNvPicPr>
                      <a:picLocks noChangeArrowheads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план - плановое значение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или: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7E7A84C4" wp14:editId="3D444D1D">
                <wp:extent cx="821690" cy="608330"/>
                <wp:effectExtent l="0" t="0" r="16510" b="1270"/>
                <wp:docPr id="5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21690" cy="608330"/>
                          <a:chOff x="30480" y="10795"/>
                          <a:chExt cx="821690" cy="60833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EF379F" w:rsidRDefault="00EF379F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577849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379F" w:rsidRDefault="00EF379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8" o:spid="_x0000_s1026" style="width:64.7pt;height:47.9pt;mso-position-horizontal-relative:char;mso-position-vertical-relative:line" coordorigin="304,107" coordsize="821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">
                <o:lock v:ext="edit" aspectratio="t"/>
                <v:line id="Прямая соединительная линия 6" o:spid="_x0000_s1027" style="position:absolute;visibility:visible;mso-wrap-style:square" from="4083,2660" to="7880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DeL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XM4H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aEN4vgAAANoAAAAPAAAAAAAAAAAAAAAAAKEC&#10;AABkcnMvZG93bnJldi54bWxQSwUGAAAAAAQABAD5AAAAjAMAAAAA&#10;" strokeweight=".55pt"/>
                <v:rect id="Прямоугольник 7" o:spid="_x0000_s1028" style="position:absolute;left:8102;top:1587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EF379F" w:rsidRDefault="00EF379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Прямоугольник 8" o:spid="_x0000_s1029" style="position:absolute;left:4800;top:2908;width:88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EF379F" w:rsidRDefault="00EF379F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9" o:spid="_x0000_s1030" style="position:absolute;left:4794;top:10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EF379F" w:rsidRDefault="00EF379F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10" o:spid="_x0000_s1031" style="position:absolute;left:857;top:158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EF379F" w:rsidRDefault="00EF379F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11" o:spid="_x0000_s1032" style="position:absolute;left:6057;top:4438;width:164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EF379F" w:rsidRDefault="00EF379F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EF379F" w:rsidRDefault="00EF379F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Прямоугольник 12" o:spid="_x0000_s1033" style="position:absolute;left:6045;top:1638;width:1873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EF379F" w:rsidRDefault="00EF37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3" o:spid="_x0000_s1034" style="position:absolute;left:5778;top:395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EF379F" w:rsidRDefault="00EF379F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4" o:spid="_x0000_s1035" style="position:absolute;left:5772;top:1155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EF379F" w:rsidRDefault="00EF379F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5" o:spid="_x0000_s1036" style="position:absolute;left:1828;top:2635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EF379F" w:rsidRDefault="00EF379F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6" o:spid="_x0000_s1037" style="position:absolute;left:4248;top:2908;width:55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EF379F" w:rsidRDefault="00EF379F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7" o:spid="_x0000_s1038" style="position:absolute;left:4248;top:107;width:55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EF379F" w:rsidRDefault="00EF379F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8" o:spid="_x0000_s1039" style="position:absolute;left:304;top:1587;width:55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EF379F" w:rsidRDefault="00EF379F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9" o:spid="_x0000_s1040" style="position:absolute;left:2730;top:13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EF379F" w:rsidRDefault="00EF379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целевых показателей (индикаторов), желаемой тенденцией развития которых является снижение значений).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использовании данной формулы в случаях, если </w:t>
      </w:r>
      <w:proofErr w:type="spellStart"/>
      <w:r>
        <w:rPr>
          <w:color w:val="000000" w:themeColor="text1"/>
        </w:rPr>
        <w:t>IЦj</w:t>
      </w:r>
      <w:proofErr w:type="spellEnd"/>
      <w:r>
        <w:rPr>
          <w:color w:val="000000" w:themeColor="text1"/>
        </w:rPr>
        <w:t xml:space="preserve"> больше 1, значение </w:t>
      </w:r>
      <w:proofErr w:type="spellStart"/>
      <w:r>
        <w:rPr>
          <w:color w:val="000000" w:themeColor="text1"/>
        </w:rPr>
        <w:t>IЦj</w:t>
      </w:r>
      <w:proofErr w:type="spellEnd"/>
      <w:r>
        <w:rPr>
          <w:color w:val="000000" w:themeColor="text1"/>
        </w:rPr>
        <w:t xml:space="preserve"> принимается </w:t>
      </w:r>
      <w:proofErr w:type="gramStart"/>
      <w:r>
        <w:rPr>
          <w:color w:val="000000" w:themeColor="text1"/>
        </w:rPr>
        <w:t>равным</w:t>
      </w:r>
      <w:proofErr w:type="gramEnd"/>
      <w:r>
        <w:rPr>
          <w:color w:val="000000" w:themeColor="text1"/>
        </w:rPr>
        <w:t xml:space="preserve"> 1.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реализации Программы рассчитывается по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drawing>
          <wp:inline distT="0" distB="0" distL="0" distR="0" wp14:anchorId="004F1965" wp14:editId="758DF295">
            <wp:extent cx="1219200" cy="276225"/>
            <wp:effectExtent l="0" t="0" r="0" b="0"/>
            <wp:docPr id="6" name="Рисунок 20" descr="base_23572_87211_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42902" name="Picture 6" descr="base_23572_87211_13"/>
                    <pic:cNvPicPr>
                      <a:picLocks noChangeArrowheads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I</w:t>
      </w:r>
      <w:proofErr w:type="gramEnd"/>
      <w:r>
        <w:rPr>
          <w:color w:val="000000" w:themeColor="text1"/>
        </w:rPr>
        <w:t>Ц - степень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proofErr w:type="gramStart"/>
      <w:r>
        <w:rPr>
          <w:color w:val="000000" w:themeColor="text1"/>
        </w:rPr>
        <w:t>ц</w:t>
      </w:r>
      <w:proofErr w:type="gramEnd"/>
      <w:r>
        <w:rPr>
          <w:color w:val="000000" w:themeColor="text1"/>
          <w:vertAlign w:val="subscript"/>
        </w:rPr>
        <w:t>i</w:t>
      </w:r>
      <w:proofErr w:type="spellEnd"/>
      <w:r>
        <w:rPr>
          <w:color w:val="000000" w:themeColor="text1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N - число показателей, характеризующих цели и задачи Программы;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numPr>
          <w:ilvl w:val="2"/>
          <w:numId w:val="13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Оценка степени соответствия запланированному уровню затрат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факт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план</w:t>
      </w:r>
      <w:proofErr w:type="spellEnd"/>
      <w:r>
        <w:rPr>
          <w:color w:val="000000" w:themeColor="text1"/>
        </w:rPr>
        <w:t>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- степень соответствия запланированному уровню расходов;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факт</w:t>
      </w:r>
      <w:proofErr w:type="spellEnd"/>
      <w:r>
        <w:rPr>
          <w:color w:val="000000" w:themeColor="text1"/>
        </w:rPr>
        <w:t xml:space="preserve"> - фактические расходы на реализацию Программы в отчетном году;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З</w:t>
      </w:r>
      <w:r>
        <w:rPr>
          <w:color w:val="000000" w:themeColor="text1"/>
          <w:vertAlign w:val="subscript"/>
        </w:rPr>
        <w:t>план</w:t>
      </w:r>
      <w:proofErr w:type="spellEnd"/>
      <w:r>
        <w:rPr>
          <w:color w:val="000000" w:themeColor="text1"/>
        </w:rPr>
        <w:t xml:space="preserve"> - плановые расходы на реализацию Программы в отчетном году.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8.1.3. Оценка степени реализации основных мероприятий (мероприятий)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в</w:t>
      </w:r>
      <w:proofErr w:type="spellEnd"/>
      <w:r>
        <w:rPr>
          <w:color w:val="000000" w:themeColor="text1"/>
        </w:rPr>
        <w:t xml:space="preserve"> / М,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- степень реализации основных мероприятий (мероприятий)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в</w:t>
      </w:r>
      <w:proofErr w:type="spellEnd"/>
      <w:r>
        <w:rPr>
          <w:color w:val="000000" w:themeColor="text1"/>
        </w:rPr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 - общее количество основных мероприятий (мероприятий), запланированных к реализации в отчетном году.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запланированного.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иным основным мероприятиям (мероприятиям) результаты реализации могут оцениваться как наступление или </w:t>
      </w:r>
      <w:r w:rsidR="00162B26">
        <w:rPr>
          <w:color w:val="000000" w:themeColor="text1"/>
        </w:rPr>
        <w:t>не наступление</w:t>
      </w:r>
      <w:r>
        <w:rPr>
          <w:color w:val="000000" w:themeColor="text1"/>
        </w:rPr>
        <w:t xml:space="preserve"> события (событий) и (или) достижение качественного результата (оценка проводится экспертно).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center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8.1.4. Оценка эффективности реализации Программы рассчитывается по следующей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24"/>
        </w:rPr>
        <w:drawing>
          <wp:inline distT="0" distB="0" distL="0" distR="0" wp14:anchorId="61A0357D" wp14:editId="5A30F245">
            <wp:extent cx="1819275" cy="457200"/>
            <wp:effectExtent l="0" t="0" r="0" b="0"/>
            <wp:docPr id="7" name="Рисунок 21" descr="base_23572_87211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05445" name="Picture 7" descr="base_23572_87211_14"/>
                    <pic:cNvPicPr>
                      <a:picLocks noChangeArrowheads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 - эффективность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lastRenderedPageBreak/>
        <w:t>I</w:t>
      </w:r>
      <w:proofErr w:type="gramEnd"/>
      <w:r>
        <w:rPr>
          <w:color w:val="000000" w:themeColor="text1"/>
        </w:rPr>
        <w:t>ц</w:t>
      </w:r>
      <w:proofErr w:type="spellEnd"/>
      <w:r>
        <w:rPr>
          <w:color w:val="000000" w:themeColor="text1"/>
        </w:rPr>
        <w:t xml:space="preserve"> - степень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- степень соответствия запланированному уровню расходов;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- степень реализации основных мероприятий (мероприятий) Программы.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8.2. Эффективность реализации Программы признается высокой,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0,90.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реализации Программы признается средней,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0,75.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реализации Программы признается удовлетворительной,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0,65.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остальных случаях эффективность реализации Программы признается неудовлетворительной.</w:t>
      </w:r>
    </w:p>
    <w:p w:rsidR="00A91D7F" w:rsidRDefault="00A867ED" w:rsidP="00FD3938">
      <w:pPr>
        <w:widowControl w:val="0"/>
        <w:spacing w:line="360" w:lineRule="auto"/>
        <w:ind w:firstLine="709"/>
        <w:jc w:val="right"/>
        <w:outlineLvl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:rsidR="00A91D7F" w:rsidRPr="000246D5" w:rsidRDefault="00A867ED" w:rsidP="00FD3938">
      <w:pPr>
        <w:widowControl w:val="0"/>
        <w:spacing w:line="360" w:lineRule="auto"/>
        <w:ind w:left="720" w:right="-29"/>
        <w:jc w:val="both"/>
        <w:rPr>
          <w:bCs/>
          <w:sz w:val="26"/>
          <w:szCs w:val="26"/>
        </w:rPr>
      </w:pPr>
      <w:r w:rsidRPr="000246D5">
        <w:rPr>
          <w:bCs/>
          <w:color w:val="000000" w:themeColor="text1"/>
          <w:sz w:val="26"/>
          <w:szCs w:val="26"/>
        </w:rPr>
        <w:t xml:space="preserve">9. </w:t>
      </w:r>
      <w:r w:rsidRPr="000246D5">
        <w:rPr>
          <w:bCs/>
          <w:sz w:val="26"/>
          <w:szCs w:val="26"/>
        </w:rPr>
        <w:t>План реализации Программы.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b/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План реализации Программы на 2024-2030 годы представлен в приложении </w:t>
      </w:r>
      <w:r>
        <w:rPr>
          <w:sz w:val="26"/>
          <w:szCs w:val="26"/>
        </w:rPr>
        <w:t>№4.</w:t>
      </w:r>
    </w:p>
    <w:p w:rsidR="00A91D7F" w:rsidRDefault="00A91D7F">
      <w:pPr>
        <w:ind w:right="-29"/>
        <w:jc w:val="both"/>
        <w:rPr>
          <w:b/>
          <w:bCs/>
          <w:sz w:val="26"/>
          <w:szCs w:val="26"/>
        </w:rPr>
      </w:pPr>
    </w:p>
    <w:p w:rsidR="00A91D7F" w:rsidRDefault="00A91D7F">
      <w:pPr>
        <w:ind w:right="-29"/>
        <w:jc w:val="both"/>
        <w:rPr>
          <w:b/>
          <w:bCs/>
          <w:sz w:val="26"/>
          <w:szCs w:val="26"/>
        </w:rPr>
      </w:pPr>
    </w:p>
    <w:p w:rsidR="00A91D7F" w:rsidRDefault="00A867ED">
      <w:pPr>
        <w:ind w:right="-29"/>
        <w:jc w:val="center"/>
        <w:rPr>
          <w:sz w:val="26"/>
          <w:szCs w:val="26"/>
        </w:rPr>
        <w:sectPr w:rsidR="00A91D7F" w:rsidSect="00F648C6">
          <w:headerReference w:type="default" r:id="rId15"/>
          <w:pgSz w:w="11907" w:h="16840"/>
          <w:pgMar w:top="567" w:right="567" w:bottom="1134" w:left="1701" w:header="709" w:footer="0" w:gutter="0"/>
          <w:pgNumType w:start="1"/>
          <w:cols w:space="720"/>
          <w:titlePg/>
          <w:docGrid w:linePitch="360"/>
        </w:sectPr>
      </w:pPr>
      <w:r>
        <w:rPr>
          <w:bCs/>
          <w:sz w:val="26"/>
          <w:szCs w:val="26"/>
        </w:rPr>
        <w:t>_______________________________________</w:t>
      </w:r>
      <w:r>
        <w:rPr>
          <w:color w:val="FF0000"/>
          <w:sz w:val="26"/>
          <w:szCs w:val="26"/>
        </w:rPr>
        <w:t xml:space="preserve">             </w:t>
      </w:r>
    </w:p>
    <w:p w:rsidR="00A91D7F" w:rsidRDefault="00A867ED" w:rsidP="000246D5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246D5" w:rsidRDefault="000246D5" w:rsidP="000246D5">
      <w:pPr>
        <w:ind w:left="10490"/>
        <w:jc w:val="center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3905DC" w:rsidRDefault="003905DC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от 14 сентября 2023 года № 1770</w:t>
      </w:r>
    </w:p>
    <w:p w:rsidR="000246D5" w:rsidRDefault="000246D5">
      <w:pPr>
        <w:jc w:val="center"/>
        <w:outlineLvl w:val="0"/>
        <w:rPr>
          <w:b/>
          <w:bCs/>
          <w:sz w:val="26"/>
          <w:szCs w:val="26"/>
        </w:rPr>
      </w:pP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2024-2030 годы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3020"/>
        <w:gridCol w:w="709"/>
        <w:gridCol w:w="1275"/>
        <w:gridCol w:w="851"/>
        <w:gridCol w:w="850"/>
        <w:gridCol w:w="851"/>
        <w:gridCol w:w="850"/>
        <w:gridCol w:w="851"/>
        <w:gridCol w:w="850"/>
        <w:gridCol w:w="851"/>
        <w:gridCol w:w="2977"/>
      </w:tblGrid>
      <w:tr w:rsidR="00A91D7F">
        <w:trPr>
          <w:trHeight w:hRule="exact" w:val="6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значение целевого показателя (индикатора) 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</w:t>
            </w:r>
          </w:p>
        </w:tc>
      </w:tr>
      <w:tr w:rsidR="00A91D7F">
        <w:trPr>
          <w:trHeight w:hRule="exact" w:val="563"/>
        </w:trPr>
        <w:tc>
          <w:tcPr>
            <w:tcW w:w="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</w:t>
            </w:r>
          </w:p>
        </w:tc>
      </w:tr>
      <w:tr w:rsidR="00A91D7F">
        <w:trPr>
          <w:trHeight w:hRule="exact" w:val="2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D7F">
        <w:trPr>
          <w:trHeight w:hRule="exact" w:val="567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1. «Обеспечение функционирования и модернизация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>
        <w:trPr>
          <w:trHeight w:hRule="exact" w:val="1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выполнения заявок пользователей по вопросам поддержки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бесперебойной работы информационно-коммуникационной инфраструктуры администрации</w:t>
            </w:r>
          </w:p>
        </w:tc>
      </w:tr>
      <w:tr w:rsidR="00A91D7F">
        <w:trPr>
          <w:trHeight w:hRule="exact" w:val="2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автоматизированных рабочих мест пользователей, серверного и телекоммуникационного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компьютерного и периферийного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оборудования, соответствующего требованиям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подключения к </w:t>
            </w:r>
            <w:proofErr w:type="gramStart"/>
            <w:r>
              <w:rPr>
                <w:sz w:val="24"/>
                <w:szCs w:val="24"/>
              </w:rPr>
              <w:t>государственным</w:t>
            </w:r>
            <w:proofErr w:type="gramEnd"/>
            <w:r>
              <w:rPr>
                <w:sz w:val="24"/>
                <w:szCs w:val="24"/>
              </w:rPr>
              <w:t xml:space="preserve"> информационным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системам.</w:t>
            </w:r>
          </w:p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</w:tr>
      <w:tr w:rsidR="001E0A26" w:rsidTr="001E0A26">
        <w:trPr>
          <w:trHeight w:hRule="exact" w:val="2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D7F" w:rsidTr="00EF6CAD">
        <w:trPr>
          <w:trHeight w:hRule="exact" w:val="25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Стоимостная доля закупаемого, арендуемого отечественного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всех рабочих мест в соответствие с законодательством РФ. Обеспечение рабочих мест базовым комплектом лицензионных программных продуктов отечественного производства. </w:t>
            </w:r>
          </w:p>
        </w:tc>
      </w:tr>
      <w:tr w:rsidR="00A91D7F" w:rsidTr="00754DF5">
        <w:trPr>
          <w:trHeight w:hRule="exact" w:val="25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75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регулярного повышения квалификации</w:t>
            </w:r>
            <w:r>
              <w:t xml:space="preserve"> </w:t>
            </w:r>
            <w:r w:rsidRPr="00754DF5">
              <w:rPr>
                <w:sz w:val="24"/>
                <w:szCs w:val="24"/>
              </w:rPr>
              <w:t>специалистов по защите информации</w:t>
            </w:r>
            <w:r>
              <w:rPr>
                <w:sz w:val="24"/>
                <w:szCs w:val="24"/>
              </w:rPr>
              <w:t xml:space="preserve"> и </w:t>
            </w:r>
            <w:r w:rsidRPr="00754DF5">
              <w:rPr>
                <w:sz w:val="24"/>
                <w:szCs w:val="24"/>
              </w:rPr>
              <w:t>в области информационно-коммуникационных технологий</w:t>
            </w:r>
            <w:r>
              <w:rPr>
                <w:sz w:val="24"/>
                <w:szCs w:val="24"/>
              </w:rPr>
              <w:t xml:space="preserve"> (</w:t>
            </w:r>
            <w:r w:rsidRPr="00754DF5">
              <w:rPr>
                <w:sz w:val="24"/>
                <w:szCs w:val="24"/>
              </w:rPr>
              <w:t>Постановление Правительства РФ от 6 мая 2016 г. N 399</w:t>
            </w:r>
            <w:r>
              <w:rPr>
                <w:sz w:val="24"/>
                <w:szCs w:val="24"/>
              </w:rPr>
              <w:t>)</w:t>
            </w:r>
          </w:p>
        </w:tc>
      </w:tr>
      <w:tr w:rsidR="00A91D7F">
        <w:trPr>
          <w:trHeight w:hRule="exact" w:val="298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2. «Обеспечение информационной безопасности в администрации Находкинского городского округа»</w:t>
            </w:r>
          </w:p>
        </w:tc>
      </w:tr>
      <w:tr w:rsidR="00A61184">
        <w:trPr>
          <w:trHeight w:hRule="exact" w:val="19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законодательства </w:t>
            </w:r>
            <w:r w:rsidR="00162B26">
              <w:rPr>
                <w:sz w:val="24"/>
                <w:szCs w:val="24"/>
              </w:rPr>
              <w:t xml:space="preserve">РФ в области информационной безопасности. </w:t>
            </w:r>
            <w:r w:rsidR="00162B26" w:rsidRPr="00162B26">
              <w:rPr>
                <w:sz w:val="24"/>
                <w:szCs w:val="24"/>
              </w:rPr>
              <w:t>Обеспечена безопасность, устойчивость функционирования и защита информации в информационных системах администрации Находкинского городского</w:t>
            </w:r>
          </w:p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A61184" w:rsidRDefault="00162B26">
            <w:pPr>
              <w:jc w:val="center"/>
              <w:rPr>
                <w:sz w:val="24"/>
                <w:szCs w:val="24"/>
              </w:rPr>
            </w:pPr>
            <w:r w:rsidRPr="00162B26">
              <w:rPr>
                <w:sz w:val="24"/>
                <w:szCs w:val="24"/>
              </w:rPr>
              <w:t xml:space="preserve"> округа</w:t>
            </w:r>
          </w:p>
        </w:tc>
      </w:tr>
      <w:tr w:rsidR="00A61184" w:rsidTr="001E0A26">
        <w:trPr>
          <w:trHeight w:hRule="exact" w:val="11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защищенных автоматизированных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</w:p>
        </w:tc>
      </w:tr>
      <w:tr w:rsidR="00A91D7F" w:rsidTr="001E0A26">
        <w:trPr>
          <w:trHeight w:hRule="exact" w:val="871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3. «Повышение качества и доступности предоставления муниципальных услуг»</w:t>
            </w: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</w:tc>
      </w:tr>
      <w:tr w:rsidR="001E0A26" w:rsidTr="001E0A26">
        <w:trPr>
          <w:trHeight w:hRule="exact" w:val="2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lastRenderedPageBreak/>
              <w:t>1</w:t>
            </w:r>
          </w:p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2</w:t>
            </w:r>
          </w:p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40" w:lineRule="auto"/>
              <w:ind w:left="6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18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right="32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36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12</w:t>
            </w:r>
          </w:p>
        </w:tc>
      </w:tr>
      <w:tr w:rsidR="00A91D7F">
        <w:trPr>
          <w:trHeight w:hRule="exact" w:val="3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8C26E4" w:rsidP="008C26E4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3.</w:t>
            </w:r>
            <w:r w:rsidR="00A867ED">
              <w:rPr>
                <w:rStyle w:val="28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К 30.12.2030 95% от общего количества массовых социально-значимых услуг, оказываемых в электронном виде, предоставляется с использованием ЕПГУ</w:t>
            </w:r>
          </w:p>
        </w:tc>
      </w:tr>
    </w:tbl>
    <w:p w:rsidR="002E684D" w:rsidRDefault="002E684D">
      <w:pPr>
        <w:ind w:left="10490"/>
        <w:jc w:val="center"/>
        <w:outlineLvl w:val="0"/>
        <w:rPr>
          <w:b/>
          <w:bCs/>
          <w:color w:val="FF0000"/>
          <w:sz w:val="26"/>
          <w:szCs w:val="26"/>
        </w:rPr>
        <w:sectPr w:rsidR="002E684D" w:rsidSect="002E684D">
          <w:headerReference w:type="default" r:id="rId16"/>
          <w:pgSz w:w="16840" w:h="11907" w:orient="landscape"/>
          <w:pgMar w:top="567" w:right="567" w:bottom="851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867ED">
      <w:pPr>
        <w:ind w:left="1049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1E0A26" w:rsidRDefault="001E0A26">
      <w:pPr>
        <w:ind w:left="10490"/>
        <w:jc w:val="center"/>
        <w:outlineLvl w:val="0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A91D7F" w:rsidRDefault="003905DC">
      <w:pPr>
        <w:ind w:left="10490"/>
        <w:jc w:val="both"/>
        <w:rPr>
          <w:sz w:val="26"/>
          <w:szCs w:val="26"/>
        </w:rPr>
      </w:pPr>
      <w:r w:rsidRPr="003905DC">
        <w:rPr>
          <w:sz w:val="26"/>
          <w:szCs w:val="26"/>
        </w:rPr>
        <w:t>от 14 сентября 2023 года № 1770</w:t>
      </w:r>
    </w:p>
    <w:p w:rsidR="001E0A26" w:rsidRPr="004D782D" w:rsidRDefault="001E0A26">
      <w:pPr>
        <w:ind w:left="10490"/>
        <w:jc w:val="both"/>
        <w:rPr>
          <w:sz w:val="26"/>
          <w:szCs w:val="26"/>
        </w:rPr>
      </w:pPr>
    </w:p>
    <w:p w:rsidR="00A91D7F" w:rsidRDefault="00A91D7F">
      <w:pPr>
        <w:jc w:val="right"/>
        <w:rPr>
          <w:sz w:val="26"/>
          <w:szCs w:val="26"/>
        </w:rPr>
      </w:pP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A91D7F" w:rsidRDefault="00A867ED">
      <w:pPr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A91D7F" w:rsidRDefault="00A867ED">
      <w:pPr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"/>
        <w:gridCol w:w="3402"/>
        <w:gridCol w:w="2127"/>
        <w:gridCol w:w="1187"/>
        <w:gridCol w:w="1187"/>
        <w:gridCol w:w="1187"/>
        <w:gridCol w:w="1187"/>
        <w:gridCol w:w="1187"/>
        <w:gridCol w:w="1187"/>
        <w:gridCol w:w="1187"/>
      </w:tblGrid>
      <w:tr w:rsidR="00A91D7F">
        <w:trPr>
          <w:trHeight w:val="31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A91D7F">
        <w:trPr>
          <w:trHeight w:val="315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2030</w:t>
            </w:r>
          </w:p>
        </w:tc>
      </w:tr>
      <w:tr w:rsidR="00A91D7F">
        <w:trPr>
          <w:trHeight w:val="1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91D7F">
        <w:trPr>
          <w:trHeight w:val="630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2024-2030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98 080,69 тыс. рублей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16 568,85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14 981,47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13 726,98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</w:tr>
      <w:tr w:rsidR="00A91D7F">
        <w:trPr>
          <w:trHeight w:val="1575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1275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F72EC" w:rsidTr="009F72EC">
        <w:trPr>
          <w:trHeight w:val="2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91D7F">
        <w:trPr>
          <w:trHeight w:val="838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16 568,85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14 981,47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13 726,98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</w:tr>
      <w:tr w:rsidR="00A91D7F">
        <w:trPr>
          <w:trHeight w:val="421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826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800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1. «Совершенствование (модернизация)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модернизация информационно-коммуникационной инфраструктуры администрации Находкинского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15 468,85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13 831,47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12 576,98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</w:tr>
      <w:tr w:rsidR="00A91D7F">
        <w:trPr>
          <w:trHeight w:val="10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</w:tr>
      <w:tr w:rsidR="00A91D7F">
        <w:trPr>
          <w:trHeight w:val="7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4 411,00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информационно-коммуникационной сети администрации Находкинского городского округа</w:t>
            </w:r>
          </w:p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4 164,99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4 071,99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2 760,00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</w:tr>
      <w:tr w:rsidR="009F72EC" w:rsidTr="009F72EC">
        <w:trPr>
          <w:trHeight w:val="2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обеспечения, развитие и обеспечение эксплуатации информационных систем, официального сайта Находкинского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5 812,40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4 917,98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4 975,48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255,46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</w:tr>
      <w:tr w:rsidR="00A91D7F">
        <w:trPr>
          <w:trHeight w:val="677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2. «Обеспечение информационной безопасности в администрации Находкинского городского округа»</w:t>
            </w:r>
          </w:p>
        </w:tc>
      </w:tr>
      <w:tr w:rsidR="00A91D7F">
        <w:trPr>
          <w:trHeight w:val="1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мероприятий по защите информации, в том числе приобретение средств защиты для нужд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</w:tr>
      <w:tr w:rsidR="00A91D7F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 w:rsidP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Оказание услуг по аттестации и ежегодному инструментальному контролю объектов информатизации АНГО, по установке 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</w:tr>
      <w:tr w:rsidR="009F72EC" w:rsidTr="009F72EC">
        <w:trPr>
          <w:trHeight w:val="2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F72EC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настройки средств защиты информации, по созданию и выдаче сертификатов ключей проверки электронных подписей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1D7F">
        <w:trPr>
          <w:trHeight w:val="123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аппаратных, аппаратно-программных, программных средств защиты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</w:tr>
      <w:tr w:rsidR="00A91D7F">
        <w:trPr>
          <w:trHeight w:val="417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3. «Повышение качества и доступности предоставления муниципальных услуг»</w:t>
            </w:r>
          </w:p>
        </w:tc>
      </w:tr>
      <w:tr w:rsidR="00A91D7F">
        <w:trPr>
          <w:trHeight w:val="12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информационной открытости предоставления муниципальных услуг, в том числе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A91D7F" w:rsidRDefault="00A91D7F">
      <w:pPr>
        <w:ind w:left="5670" w:right="-28"/>
        <w:rPr>
          <w:color w:val="FF0000"/>
          <w:sz w:val="26"/>
          <w:szCs w:val="26"/>
        </w:rPr>
        <w:sectPr w:rsidR="00A91D7F" w:rsidSect="002E684D">
          <w:pgSz w:w="16840" w:h="11907" w:orient="landscape"/>
          <w:pgMar w:top="567" w:right="567" w:bottom="851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867ED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9F72EC" w:rsidRDefault="009F72EC">
      <w:pPr>
        <w:ind w:left="10490"/>
        <w:jc w:val="center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A91D7F" w:rsidRDefault="003905DC">
      <w:pPr>
        <w:ind w:left="10490"/>
        <w:jc w:val="both"/>
        <w:rPr>
          <w:bCs/>
          <w:sz w:val="26"/>
          <w:szCs w:val="26"/>
        </w:rPr>
      </w:pPr>
      <w:r w:rsidRPr="003905DC">
        <w:rPr>
          <w:bCs/>
          <w:sz w:val="26"/>
          <w:szCs w:val="26"/>
        </w:rPr>
        <w:t>от 14 сентября 2023 года № 1770</w:t>
      </w:r>
    </w:p>
    <w:p w:rsidR="009F72EC" w:rsidRDefault="009F72EC">
      <w:pPr>
        <w:ind w:left="10490"/>
        <w:jc w:val="both"/>
        <w:rPr>
          <w:bCs/>
          <w:sz w:val="26"/>
          <w:szCs w:val="26"/>
          <w:u w:val="single"/>
        </w:rPr>
      </w:pPr>
    </w:p>
    <w:p w:rsidR="00A91D7F" w:rsidRDefault="00A91D7F">
      <w:pPr>
        <w:ind w:left="10490"/>
        <w:jc w:val="both"/>
        <w:rPr>
          <w:sz w:val="26"/>
          <w:szCs w:val="26"/>
        </w:rPr>
      </w:pPr>
    </w:p>
    <w:p w:rsidR="00EF379F" w:rsidRDefault="00EF379F">
      <w:pPr>
        <w:ind w:right="-29" w:firstLine="170"/>
        <w:jc w:val="center"/>
        <w:rPr>
          <w:b/>
          <w:sz w:val="26"/>
          <w:szCs w:val="26"/>
        </w:rPr>
      </w:pP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2024-2030 годы за счет средств бюджета Находкинского городского округа</w:t>
      </w:r>
    </w:p>
    <w:p w:rsidR="00EF379F" w:rsidRDefault="00EF379F">
      <w:pPr>
        <w:ind w:right="-29" w:firstLine="170"/>
        <w:jc w:val="center"/>
        <w:rPr>
          <w:b/>
          <w:sz w:val="26"/>
          <w:szCs w:val="26"/>
        </w:rPr>
      </w:pPr>
    </w:p>
    <w:tbl>
      <w:tblPr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1721"/>
        <w:gridCol w:w="850"/>
        <w:gridCol w:w="709"/>
        <w:gridCol w:w="851"/>
        <w:gridCol w:w="708"/>
        <w:gridCol w:w="1134"/>
        <w:gridCol w:w="1240"/>
        <w:gridCol w:w="1028"/>
        <w:gridCol w:w="1134"/>
        <w:gridCol w:w="1134"/>
        <w:gridCol w:w="1134"/>
        <w:gridCol w:w="1134"/>
      </w:tblGrid>
      <w:tr w:rsidR="00EF379F" w:rsidRPr="00EF379F" w:rsidTr="00EF379F">
        <w:trPr>
          <w:trHeight w:val="838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2"/>
                <w:szCs w:val="22"/>
              </w:rPr>
            </w:pPr>
            <w:r w:rsidRPr="00EF379F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EF379F" w:rsidRPr="00EF379F" w:rsidTr="00EF379F">
        <w:trPr>
          <w:trHeight w:val="567"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2"/>
                <w:szCs w:val="22"/>
              </w:rPr>
            </w:pPr>
            <w:r w:rsidRPr="00EF379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F379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2"/>
                <w:szCs w:val="22"/>
              </w:rPr>
            </w:pPr>
            <w:r w:rsidRPr="00EF379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2"/>
                <w:szCs w:val="22"/>
              </w:rPr>
            </w:pPr>
            <w:r w:rsidRPr="00EF379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EF379F" w:rsidRPr="00EF379F" w:rsidTr="00EF379F">
        <w:trPr>
          <w:trHeight w:val="215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F379F" w:rsidRPr="00EF379F" w:rsidTr="00EF379F">
        <w:trPr>
          <w:trHeight w:val="802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  <w:p w:rsid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 xml:space="preserve">Муниципальная </w:t>
            </w:r>
          </w:p>
          <w:p w:rsid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программа «Информатизация администрации Находкинского городского округа на 2024-2030 годы»</w:t>
            </w:r>
          </w:p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  <w:p w:rsidR="00EF379F" w:rsidRPr="00EF379F" w:rsidRDefault="00EF379F" w:rsidP="00C16A30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 xml:space="preserve">Всего  </w:t>
            </w:r>
            <w:r w:rsidR="00C16A30">
              <w:rPr>
                <w:color w:val="000000"/>
                <w:sz w:val="24"/>
                <w:szCs w:val="24"/>
              </w:rPr>
              <w:t>14933,713</w:t>
            </w:r>
            <w:bookmarkStart w:id="1" w:name="_GoBack"/>
            <w:bookmarkEnd w:id="1"/>
            <w:r w:rsidRPr="00EF379F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8333,391</w:t>
            </w:r>
          </w:p>
        </w:tc>
        <w:tc>
          <w:tcPr>
            <w:tcW w:w="1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6600,322</w:t>
            </w:r>
          </w:p>
        </w:tc>
        <w:tc>
          <w:tcPr>
            <w:tcW w:w="10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276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EF379F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8333,391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6600,322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268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EF379F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116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EF379F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24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F379F" w:rsidRPr="00EF379F" w:rsidTr="00EF379F">
        <w:trPr>
          <w:trHeight w:val="184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 xml:space="preserve">1. Обеспечение функционирования и модернизация информационно-коммуникационной инфраструктуры администрации Находкинского городского округа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</w:rPr>
            </w:pPr>
            <w:r w:rsidRPr="00EF379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79F" w:rsidRPr="00EF379F" w:rsidTr="00EF379F">
        <w:trPr>
          <w:trHeight w:val="154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1.1. Обеспечение бесперебойной работы компьютерной и оргтехники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EF379F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1574,50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1350,00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60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FF0000"/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1.2. Приобретение компьютерной и оргтехники, телекоммуникационного оборудования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EF379F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3005,50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1000,00</w:t>
            </w:r>
          </w:p>
        </w:tc>
        <w:tc>
          <w:tcPr>
            <w:tcW w:w="10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131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FF0000"/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1.3. Развитие и модернизация информационно-коммуникационной сети администрации Находкинского городского округа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330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FF0000"/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 xml:space="preserve">1.4. Приобретение лицензионного программного обеспечения, развитие и обеспечение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3298,871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3707,102</w:t>
            </w:r>
          </w:p>
        </w:tc>
        <w:tc>
          <w:tcPr>
            <w:tcW w:w="10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33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13</w:t>
            </w:r>
          </w:p>
        </w:tc>
      </w:tr>
      <w:tr w:rsidR="00EF379F" w:rsidRPr="00EF379F" w:rsidTr="00EF379F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эксплуатации информационных систем, официального сайта Находкинского городского округа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379F" w:rsidRPr="00EF379F" w:rsidTr="00EF379F">
        <w:trPr>
          <w:trHeight w:val="94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1.5. 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1365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FF0000"/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2. Обеспечение информационной безопасности в администрации Находкинского городского округа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79F" w:rsidRPr="00EF379F" w:rsidTr="00EF379F">
        <w:trPr>
          <w:trHeight w:val="244"/>
          <w:jc w:val="center"/>
        </w:trPr>
        <w:tc>
          <w:tcPr>
            <w:tcW w:w="24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FF0000"/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 xml:space="preserve">2.1. Оказание услуг по аттестации объектов информатизации администрации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75,00</w:t>
            </w:r>
          </w:p>
        </w:tc>
        <w:tc>
          <w:tcPr>
            <w:tcW w:w="10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  <w:r w:rsidRPr="00EF379F">
              <w:rPr>
                <w:bCs/>
                <w:sz w:val="24"/>
                <w:szCs w:val="24"/>
              </w:rPr>
              <w:t>13</w:t>
            </w:r>
          </w:p>
        </w:tc>
      </w:tr>
      <w:tr w:rsidR="00EF379F" w:rsidRPr="00EF379F" w:rsidTr="00EF379F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Находкинского городского округа, по установке и настройке средств защиты информации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379F" w:rsidRPr="00EF379F" w:rsidTr="00EF379F">
        <w:trPr>
          <w:trHeight w:val="27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FF0000"/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2.2. Приобретение аппаратных, аппаратно-программных, программных средств защиты информации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0190126020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  <w:r w:rsidRPr="00EF379F">
              <w:rPr>
                <w:color w:val="000000"/>
                <w:sz w:val="24"/>
                <w:szCs w:val="24"/>
              </w:rPr>
              <w:t>454,52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468,22</w:t>
            </w: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EF379F" w:rsidRDefault="00EF379F" w:rsidP="00EF379F">
            <w:pPr>
              <w:jc w:val="center"/>
            </w:pPr>
            <w:r w:rsidRPr="00EF379F">
              <w:rPr>
                <w:bCs/>
                <w:sz w:val="24"/>
                <w:szCs w:val="24"/>
              </w:rPr>
              <w:t>0,00</w:t>
            </w:r>
          </w:p>
        </w:tc>
      </w:tr>
      <w:tr w:rsidR="00EF379F" w:rsidRPr="00EF379F" w:rsidTr="00EF379F">
        <w:trPr>
          <w:trHeight w:val="27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sz w:val="24"/>
                <w:szCs w:val="24"/>
              </w:rPr>
            </w:pPr>
            <w:r w:rsidRPr="00EF379F">
              <w:rPr>
                <w:sz w:val="24"/>
                <w:szCs w:val="24"/>
              </w:rPr>
              <w:t>3. Повышение качества и доступности предоставления муниципальных услуг</w:t>
            </w:r>
          </w:p>
        </w:tc>
        <w:tc>
          <w:tcPr>
            <w:tcW w:w="1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F379F" w:rsidRPr="00EF379F" w:rsidRDefault="00EF379F" w:rsidP="00EF3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2741" w:rsidRDefault="00932741">
      <w:pPr>
        <w:ind w:right="-29" w:firstLine="170"/>
        <w:jc w:val="center"/>
        <w:rPr>
          <w:b/>
          <w:sz w:val="26"/>
          <w:szCs w:val="26"/>
        </w:rPr>
      </w:pPr>
    </w:p>
    <w:p w:rsidR="00932741" w:rsidRDefault="00932741">
      <w:pPr>
        <w:ind w:right="-29" w:firstLine="170"/>
        <w:jc w:val="center"/>
        <w:rPr>
          <w:b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FD3938" w:rsidRDefault="00FD3938">
      <w:pPr>
        <w:ind w:left="10490"/>
        <w:jc w:val="both"/>
        <w:rPr>
          <w:color w:val="FF0000"/>
          <w:sz w:val="26"/>
          <w:szCs w:val="26"/>
        </w:rPr>
        <w:sectPr w:rsidR="00FD3938" w:rsidSect="00FD3938">
          <w:pgSz w:w="16840" w:h="11907" w:orient="landscape"/>
          <w:pgMar w:top="567" w:right="567" w:bottom="993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91D7F">
      <w:pPr>
        <w:ind w:left="10490"/>
        <w:jc w:val="both"/>
        <w:rPr>
          <w:color w:val="FF0000"/>
          <w:sz w:val="26"/>
          <w:szCs w:val="26"/>
        </w:rPr>
      </w:pPr>
    </w:p>
    <w:p w:rsidR="00A91D7F" w:rsidRDefault="00A867ED" w:rsidP="009F72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9F72EC" w:rsidRDefault="009F72EC">
      <w:pPr>
        <w:ind w:left="10490"/>
        <w:jc w:val="both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3905DC" w:rsidRDefault="003905DC">
      <w:pPr>
        <w:ind w:left="10490"/>
        <w:jc w:val="both"/>
        <w:rPr>
          <w:bCs/>
          <w:sz w:val="26"/>
          <w:szCs w:val="26"/>
        </w:rPr>
      </w:pPr>
      <w:r w:rsidRPr="003905DC">
        <w:rPr>
          <w:bCs/>
          <w:sz w:val="26"/>
          <w:szCs w:val="26"/>
        </w:rPr>
        <w:t>от 14 сентября 2023 года № 1770</w:t>
      </w:r>
    </w:p>
    <w:p w:rsidR="00A91D7F" w:rsidRDefault="00A91D7F">
      <w:pPr>
        <w:ind w:right="-29" w:firstLine="170"/>
        <w:jc w:val="center"/>
        <w:rPr>
          <w:bCs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b/>
          <w:sz w:val="26"/>
          <w:szCs w:val="26"/>
        </w:rPr>
      </w:pP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2024-2030 годы</w:t>
      </w:r>
    </w:p>
    <w:p w:rsidR="00A91D7F" w:rsidRDefault="00A91D7F">
      <w:pPr>
        <w:ind w:right="-29" w:firstLine="170"/>
        <w:jc w:val="center"/>
        <w:rPr>
          <w:b/>
          <w:color w:val="FF0000"/>
          <w:sz w:val="26"/>
          <w:szCs w:val="26"/>
        </w:rPr>
      </w:pPr>
    </w:p>
    <w:tbl>
      <w:tblPr>
        <w:tblStyle w:val="36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971"/>
        <w:gridCol w:w="1129"/>
        <w:gridCol w:w="992"/>
        <w:gridCol w:w="1989"/>
        <w:gridCol w:w="563"/>
        <w:gridCol w:w="869"/>
        <w:gridCol w:w="832"/>
        <w:gridCol w:w="850"/>
        <w:gridCol w:w="851"/>
        <w:gridCol w:w="850"/>
        <w:gridCol w:w="869"/>
        <w:gridCol w:w="837"/>
        <w:gridCol w:w="1983"/>
      </w:tblGrid>
      <w:tr w:rsidR="00932741" w:rsidRPr="00932741" w:rsidTr="00932741">
        <w:trPr>
          <w:trHeight w:val="640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№ </w:t>
            </w:r>
            <w:proofErr w:type="gramStart"/>
            <w:r w:rsidRPr="00932741">
              <w:rPr>
                <w:sz w:val="23"/>
                <w:szCs w:val="23"/>
              </w:rPr>
              <w:t>п</w:t>
            </w:r>
            <w:proofErr w:type="gramEnd"/>
            <w:r w:rsidRPr="00932741">
              <w:rPr>
                <w:sz w:val="23"/>
                <w:szCs w:val="23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Наименование мероприятия, отдельного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3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9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Ед. </w:t>
            </w:r>
            <w:proofErr w:type="spellStart"/>
            <w:r w:rsidRPr="00932741">
              <w:rPr>
                <w:sz w:val="23"/>
                <w:szCs w:val="23"/>
              </w:rPr>
              <w:t>изм</w:t>
            </w:r>
            <w:proofErr w:type="spellEnd"/>
          </w:p>
        </w:tc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8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Показатель реализации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4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Наименование целевого показателя (индикатора)</w:t>
            </w:r>
          </w:p>
        </w:tc>
      </w:tr>
      <w:tr w:rsidR="00932741" w:rsidRPr="00932741" w:rsidTr="00932741">
        <w:trPr>
          <w:trHeight w:val="315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  <w:lang w:val="en-US"/>
              </w:rPr>
            </w:pPr>
            <w:r w:rsidRPr="00932741">
              <w:rPr>
                <w:sz w:val="23"/>
                <w:szCs w:val="23"/>
                <w:lang w:val="en-US"/>
              </w:rPr>
              <w:t>2024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 w:firstLine="3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2030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1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 w:firstLine="35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 w:hanging="88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</w:tr>
      <w:tr w:rsidR="00932741" w:rsidRPr="00932741" w:rsidTr="00932741">
        <w:trPr>
          <w:trHeight w:val="519"/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ind w:left="-2" w:right="-29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Задача № 1. «Обеспечение функционирования и модернизация информационно-коммуникационной инфраструктуры администрации Находкинского городского округа»</w:t>
            </w:r>
          </w:p>
        </w:tc>
      </w:tr>
      <w:tr w:rsidR="00932741" w:rsidRPr="00932741" w:rsidTr="00932741">
        <w:trPr>
          <w:trHeight w:val="154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Обеспечение бесперебойной работы компьютерной и оргтехники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Поддержка бесперебойной работы компьютерной и оргтехники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 Доля выполнения заявок пользователей по вопросам поддержки информационных систем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Приобретение компьютерной и оргтехники, </w:t>
            </w:r>
            <w:proofErr w:type="spellStart"/>
            <w:proofErr w:type="gramStart"/>
            <w:r w:rsidRPr="00932741">
              <w:rPr>
                <w:sz w:val="23"/>
                <w:szCs w:val="23"/>
              </w:rPr>
              <w:t>телекоммуника</w:t>
            </w:r>
            <w:proofErr w:type="spellEnd"/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ционного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Количество приобретаемой компьютерной и оргтехники, </w:t>
            </w:r>
            <w:proofErr w:type="spellStart"/>
            <w:r>
              <w:rPr>
                <w:sz w:val="23"/>
                <w:szCs w:val="23"/>
              </w:rPr>
              <w:t>телекоммуника</w:t>
            </w:r>
            <w:proofErr w:type="spellEnd"/>
            <w:r>
              <w:rPr>
                <w:sz w:val="23"/>
                <w:szCs w:val="23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2. Доля модернизированных </w:t>
            </w:r>
            <w:proofErr w:type="gramStart"/>
            <w:r w:rsidRPr="00932741">
              <w:rPr>
                <w:sz w:val="23"/>
                <w:szCs w:val="23"/>
              </w:rPr>
              <w:t xml:space="preserve">автоматизирован </w:t>
            </w:r>
            <w:proofErr w:type="spellStart"/>
            <w:r w:rsidRPr="00932741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932741">
              <w:rPr>
                <w:sz w:val="23"/>
                <w:szCs w:val="23"/>
              </w:rPr>
              <w:t xml:space="preserve"> рабочих мест 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оборудования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</w:t>
            </w:r>
            <w:r w:rsidRPr="00932741">
              <w:rPr>
                <w:sz w:val="23"/>
                <w:szCs w:val="23"/>
              </w:rPr>
              <w:t>ионного</w:t>
            </w:r>
            <w:proofErr w:type="spellEnd"/>
            <w:r w:rsidRPr="00932741">
              <w:rPr>
                <w:sz w:val="23"/>
                <w:szCs w:val="23"/>
              </w:rPr>
              <w:t xml:space="preserve"> оборудования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пользователей, серверного и телекоммуникационного оборудования</w:t>
            </w:r>
          </w:p>
        </w:tc>
      </w:tr>
      <w:tr w:rsidR="00932741" w:rsidRPr="00932741" w:rsidTr="00EF379F">
        <w:trPr>
          <w:trHeight w:val="154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1.3.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Развитие и модернизация информационно-коммуникационной сети администрации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Поддержка бесперебойной работы информационно-коммуникационной сети администрации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154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1.4.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Приобретение лицензионного программного обеспечения, развитие и обеспечение эксплуатации информационных систем, официального сайта администрации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3. Стоимостная доля закупаемого, арендуемого отечественного программного обеспечения</w:t>
            </w:r>
          </w:p>
        </w:tc>
      </w:tr>
      <w:tr w:rsidR="00932741" w:rsidRPr="00932741" w:rsidTr="00932741">
        <w:trPr>
          <w:trHeight w:val="67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Количество сотрудников, прошедших обучение на курсах в области информационно-</w:t>
            </w:r>
            <w:proofErr w:type="spellStart"/>
            <w:r w:rsidRPr="00932741">
              <w:rPr>
                <w:sz w:val="23"/>
                <w:szCs w:val="23"/>
              </w:rPr>
              <w:t>коммуникацион</w:t>
            </w:r>
            <w:proofErr w:type="spellEnd"/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ных</w:t>
            </w:r>
            <w:proofErr w:type="spellEnd"/>
            <w:r w:rsidRPr="00932741">
              <w:rPr>
                <w:sz w:val="23"/>
                <w:szCs w:val="23"/>
              </w:rPr>
              <w:t xml:space="preserve"> технологий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чел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4. Количество сотрудников, прошедших обучение на курсах в области информационно-</w:t>
            </w:r>
            <w:proofErr w:type="spellStart"/>
            <w:r w:rsidRPr="00932741">
              <w:rPr>
                <w:sz w:val="23"/>
                <w:szCs w:val="23"/>
              </w:rPr>
              <w:t>коммуникацион</w:t>
            </w:r>
            <w:proofErr w:type="spellEnd"/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ных</w:t>
            </w:r>
            <w:proofErr w:type="spellEnd"/>
            <w:r w:rsidRPr="00932741">
              <w:rPr>
                <w:sz w:val="23"/>
                <w:szCs w:val="23"/>
              </w:rPr>
              <w:t xml:space="preserve"> технологий и информационной безопасности </w:t>
            </w:r>
          </w:p>
        </w:tc>
      </w:tr>
      <w:tr w:rsidR="00932741" w:rsidRPr="00932741" w:rsidTr="00932741">
        <w:trPr>
          <w:trHeight w:val="25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14</w:t>
            </w:r>
          </w:p>
        </w:tc>
      </w:tr>
      <w:tr w:rsidR="00932741" w:rsidRPr="00932741" w:rsidTr="00EF379F">
        <w:trPr>
          <w:trHeight w:val="67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информационной безопасности, в том числе проведение обучающих семинаров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256"/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Default="00932741" w:rsidP="00932741">
            <w:pPr>
              <w:rPr>
                <w:sz w:val="23"/>
                <w:szCs w:val="23"/>
              </w:rPr>
            </w:pPr>
          </w:p>
          <w:p w:rsid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Задача № 2. «Обеспечение информационной безопасности в администрации Находкинского городского округа»</w:t>
            </w:r>
          </w:p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475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1.6.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Оказание услуг по аттестации и ежегодному инструментальному контролю объектов информатизации АНГО, по установке и настройки средств защиты информации, по созданию и выдаче сертификатов ключей проверки электронных подписей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Обеспечение технической защиты информационных систем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5. 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</w:tr>
      <w:tr w:rsidR="00932741" w:rsidRPr="00932741" w:rsidTr="00932741">
        <w:trPr>
          <w:trHeight w:val="183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1.7.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Приобретение аппаратных, аппаратно-программных, программных средств защиты информации</w:t>
            </w:r>
          </w:p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Количество приобретаемых средств защиты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6. Доля защищенных автоматизированных рабочих мест</w:t>
            </w:r>
          </w:p>
        </w:tc>
      </w:tr>
      <w:tr w:rsidR="00932741" w:rsidRPr="00932741" w:rsidTr="00EF379F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EF379F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14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Default="00932741" w:rsidP="00EF379F">
            <w:pPr>
              <w:rPr>
                <w:sz w:val="23"/>
                <w:szCs w:val="23"/>
              </w:rPr>
            </w:pPr>
          </w:p>
          <w:p w:rsidR="00932741" w:rsidRDefault="00932741" w:rsidP="00EF379F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Задача № 3. «Повышение качества и доступности предоставления муниципальных услуг»</w:t>
            </w:r>
          </w:p>
          <w:p w:rsidR="00932741" w:rsidRPr="00932741" w:rsidRDefault="00932741" w:rsidP="00EF379F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52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1.8.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Интеграция в региональные и федеральные информационные системы (ПГС, </w:t>
            </w:r>
            <w:proofErr w:type="gramStart"/>
            <w:r w:rsidRPr="00932741">
              <w:rPr>
                <w:sz w:val="23"/>
                <w:szCs w:val="23"/>
              </w:rPr>
              <w:t>ПОС</w:t>
            </w:r>
            <w:proofErr w:type="gramEnd"/>
            <w:r w:rsidRPr="00932741">
              <w:rPr>
                <w:sz w:val="23"/>
                <w:szCs w:val="23"/>
              </w:rPr>
              <w:t>, РПГУ, РИСОГД и т.д.)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Доля подключенных рабочих мест сотрудников, оказывающих услуги в электронном виде, соответствующих требованиям и подключенных к государственным информационным системам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7. 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 </w:t>
            </w:r>
          </w:p>
        </w:tc>
      </w:tr>
    </w:tbl>
    <w:p w:rsidR="00932741" w:rsidRDefault="00932741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932741" w:rsidRDefault="00932741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color w:val="FF0000"/>
          <w:sz w:val="26"/>
          <w:szCs w:val="26"/>
        </w:rPr>
      </w:pPr>
    </w:p>
    <w:sectPr w:rsidR="00A91D7F" w:rsidSect="00FD3938">
      <w:pgSz w:w="16840" w:h="11907" w:orient="landscape"/>
      <w:pgMar w:top="567" w:right="567" w:bottom="993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9F" w:rsidRDefault="00EF379F">
      <w:r>
        <w:separator/>
      </w:r>
    </w:p>
  </w:endnote>
  <w:endnote w:type="continuationSeparator" w:id="0">
    <w:p w:rsidR="00EF379F" w:rsidRDefault="00E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9F" w:rsidRDefault="00EF379F">
      <w:r>
        <w:separator/>
      </w:r>
    </w:p>
  </w:footnote>
  <w:footnote w:type="continuationSeparator" w:id="0">
    <w:p w:rsidR="00EF379F" w:rsidRDefault="00EF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F" w:rsidRDefault="00EF379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C16A30">
      <w:rPr>
        <w:noProof/>
      </w:rPr>
      <w:t>20</w:t>
    </w:r>
    <w:r>
      <w:fldChar w:fldCharType="end"/>
    </w:r>
  </w:p>
  <w:p w:rsidR="00EF379F" w:rsidRDefault="00EF379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F" w:rsidRDefault="00EF379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C16A30">
      <w:rPr>
        <w:noProof/>
      </w:rPr>
      <w:t>3</w:t>
    </w:r>
    <w:r>
      <w:fldChar w:fldCharType="end"/>
    </w:r>
  </w:p>
  <w:p w:rsidR="00EF379F" w:rsidRDefault="00EF379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8C"/>
    <w:multiLevelType w:val="hybridMultilevel"/>
    <w:tmpl w:val="EE62BD64"/>
    <w:lvl w:ilvl="0" w:tplc="4D58B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E44F4">
      <w:start w:val="1"/>
      <w:numFmt w:val="lowerLetter"/>
      <w:lvlText w:val="%2."/>
      <w:lvlJc w:val="left"/>
      <w:pPr>
        <w:ind w:left="1440" w:hanging="360"/>
      </w:pPr>
    </w:lvl>
    <w:lvl w:ilvl="2" w:tplc="C8089634">
      <w:start w:val="1"/>
      <w:numFmt w:val="lowerRoman"/>
      <w:lvlText w:val="%3."/>
      <w:lvlJc w:val="right"/>
      <w:pPr>
        <w:ind w:left="2160" w:hanging="180"/>
      </w:pPr>
    </w:lvl>
    <w:lvl w:ilvl="3" w:tplc="BFCEB434">
      <w:start w:val="1"/>
      <w:numFmt w:val="decimal"/>
      <w:lvlText w:val="%4."/>
      <w:lvlJc w:val="left"/>
      <w:pPr>
        <w:ind w:left="2880" w:hanging="360"/>
      </w:pPr>
    </w:lvl>
    <w:lvl w:ilvl="4" w:tplc="E390A61C">
      <w:start w:val="1"/>
      <w:numFmt w:val="lowerLetter"/>
      <w:lvlText w:val="%5."/>
      <w:lvlJc w:val="left"/>
      <w:pPr>
        <w:ind w:left="3600" w:hanging="360"/>
      </w:pPr>
    </w:lvl>
    <w:lvl w:ilvl="5" w:tplc="292830AE">
      <w:start w:val="1"/>
      <w:numFmt w:val="lowerRoman"/>
      <w:lvlText w:val="%6."/>
      <w:lvlJc w:val="right"/>
      <w:pPr>
        <w:ind w:left="4320" w:hanging="180"/>
      </w:pPr>
    </w:lvl>
    <w:lvl w:ilvl="6" w:tplc="F93AD7F8">
      <w:start w:val="1"/>
      <w:numFmt w:val="decimal"/>
      <w:lvlText w:val="%7."/>
      <w:lvlJc w:val="left"/>
      <w:pPr>
        <w:ind w:left="5040" w:hanging="360"/>
      </w:pPr>
    </w:lvl>
    <w:lvl w:ilvl="7" w:tplc="FE64E4F4">
      <w:start w:val="1"/>
      <w:numFmt w:val="lowerLetter"/>
      <w:lvlText w:val="%8."/>
      <w:lvlJc w:val="left"/>
      <w:pPr>
        <w:ind w:left="5760" w:hanging="360"/>
      </w:pPr>
    </w:lvl>
    <w:lvl w:ilvl="8" w:tplc="104EE9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463"/>
    <w:multiLevelType w:val="hybridMultilevel"/>
    <w:tmpl w:val="6342491A"/>
    <w:lvl w:ilvl="0" w:tplc="F3A47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7EFF54">
      <w:start w:val="1"/>
      <w:numFmt w:val="lowerLetter"/>
      <w:lvlText w:val="%2."/>
      <w:lvlJc w:val="left"/>
      <w:pPr>
        <w:ind w:left="1789" w:hanging="360"/>
      </w:pPr>
    </w:lvl>
    <w:lvl w:ilvl="2" w:tplc="DA14DD1E">
      <w:start w:val="1"/>
      <w:numFmt w:val="lowerRoman"/>
      <w:lvlText w:val="%3."/>
      <w:lvlJc w:val="right"/>
      <w:pPr>
        <w:ind w:left="2509" w:hanging="180"/>
      </w:pPr>
    </w:lvl>
    <w:lvl w:ilvl="3" w:tplc="508CA50E">
      <w:start w:val="1"/>
      <w:numFmt w:val="decimal"/>
      <w:lvlText w:val="%4."/>
      <w:lvlJc w:val="left"/>
      <w:pPr>
        <w:ind w:left="3229" w:hanging="360"/>
      </w:pPr>
    </w:lvl>
    <w:lvl w:ilvl="4" w:tplc="79563E50">
      <w:start w:val="1"/>
      <w:numFmt w:val="lowerLetter"/>
      <w:lvlText w:val="%5."/>
      <w:lvlJc w:val="left"/>
      <w:pPr>
        <w:ind w:left="3949" w:hanging="360"/>
      </w:pPr>
    </w:lvl>
    <w:lvl w:ilvl="5" w:tplc="CC9284D8">
      <w:start w:val="1"/>
      <w:numFmt w:val="lowerRoman"/>
      <w:lvlText w:val="%6."/>
      <w:lvlJc w:val="right"/>
      <w:pPr>
        <w:ind w:left="4669" w:hanging="180"/>
      </w:pPr>
    </w:lvl>
    <w:lvl w:ilvl="6" w:tplc="B1082896">
      <w:start w:val="1"/>
      <w:numFmt w:val="decimal"/>
      <w:lvlText w:val="%7."/>
      <w:lvlJc w:val="left"/>
      <w:pPr>
        <w:ind w:left="5389" w:hanging="360"/>
      </w:pPr>
    </w:lvl>
    <w:lvl w:ilvl="7" w:tplc="83D069B2">
      <w:start w:val="1"/>
      <w:numFmt w:val="lowerLetter"/>
      <w:lvlText w:val="%8."/>
      <w:lvlJc w:val="left"/>
      <w:pPr>
        <w:ind w:left="6109" w:hanging="360"/>
      </w:pPr>
    </w:lvl>
    <w:lvl w:ilvl="8" w:tplc="4612B7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64FF6"/>
    <w:multiLevelType w:val="hybridMultilevel"/>
    <w:tmpl w:val="98AA489C"/>
    <w:lvl w:ilvl="0" w:tplc="1604E4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13E741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678F89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32BA0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418C3A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AEC5E3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504A82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D5C304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708A2C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537927"/>
    <w:multiLevelType w:val="hybridMultilevel"/>
    <w:tmpl w:val="1D5C982E"/>
    <w:lvl w:ilvl="0" w:tplc="BB38D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2AE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D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E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E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E2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509"/>
    <w:multiLevelType w:val="hybridMultilevel"/>
    <w:tmpl w:val="76F889AC"/>
    <w:lvl w:ilvl="0" w:tplc="05C6FED4">
      <w:start w:val="1"/>
      <w:numFmt w:val="decimal"/>
      <w:lvlText w:val="%1."/>
      <w:lvlJc w:val="right"/>
      <w:pPr>
        <w:ind w:left="1418" w:hanging="360"/>
      </w:pPr>
    </w:lvl>
    <w:lvl w:ilvl="1" w:tplc="CADCFC02">
      <w:start w:val="1"/>
      <w:numFmt w:val="lowerLetter"/>
      <w:lvlText w:val="%2."/>
      <w:lvlJc w:val="left"/>
      <w:pPr>
        <w:ind w:left="2138" w:hanging="360"/>
      </w:pPr>
    </w:lvl>
    <w:lvl w:ilvl="2" w:tplc="785613B4">
      <w:start w:val="1"/>
      <w:numFmt w:val="lowerRoman"/>
      <w:lvlText w:val="%3."/>
      <w:lvlJc w:val="right"/>
      <w:pPr>
        <w:ind w:left="2858" w:hanging="180"/>
      </w:pPr>
    </w:lvl>
    <w:lvl w:ilvl="3" w:tplc="267CBD5C">
      <w:start w:val="1"/>
      <w:numFmt w:val="decimal"/>
      <w:lvlText w:val="%4."/>
      <w:lvlJc w:val="left"/>
      <w:pPr>
        <w:ind w:left="3578" w:hanging="360"/>
      </w:pPr>
    </w:lvl>
    <w:lvl w:ilvl="4" w:tplc="E6B8C820">
      <w:start w:val="1"/>
      <w:numFmt w:val="lowerLetter"/>
      <w:lvlText w:val="%5."/>
      <w:lvlJc w:val="left"/>
      <w:pPr>
        <w:ind w:left="4298" w:hanging="360"/>
      </w:pPr>
    </w:lvl>
    <w:lvl w:ilvl="5" w:tplc="0CEC33EC">
      <w:start w:val="1"/>
      <w:numFmt w:val="lowerRoman"/>
      <w:lvlText w:val="%6."/>
      <w:lvlJc w:val="right"/>
      <w:pPr>
        <w:ind w:left="5018" w:hanging="180"/>
      </w:pPr>
    </w:lvl>
    <w:lvl w:ilvl="6" w:tplc="4A4CAB58">
      <w:start w:val="1"/>
      <w:numFmt w:val="decimal"/>
      <w:lvlText w:val="%7."/>
      <w:lvlJc w:val="left"/>
      <w:pPr>
        <w:ind w:left="5738" w:hanging="360"/>
      </w:pPr>
    </w:lvl>
    <w:lvl w:ilvl="7" w:tplc="EE2495F4">
      <w:start w:val="1"/>
      <w:numFmt w:val="lowerLetter"/>
      <w:lvlText w:val="%8."/>
      <w:lvlJc w:val="left"/>
      <w:pPr>
        <w:ind w:left="6458" w:hanging="360"/>
      </w:pPr>
    </w:lvl>
    <w:lvl w:ilvl="8" w:tplc="1E981A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9A162DA"/>
    <w:multiLevelType w:val="hybridMultilevel"/>
    <w:tmpl w:val="2DF8F742"/>
    <w:lvl w:ilvl="0" w:tplc="29086472">
      <w:start w:val="1"/>
      <w:numFmt w:val="decimal"/>
      <w:lvlText w:val="%1."/>
      <w:lvlJc w:val="left"/>
      <w:pPr>
        <w:ind w:left="720" w:hanging="360"/>
      </w:pPr>
    </w:lvl>
    <w:lvl w:ilvl="1" w:tplc="CAAEFE68">
      <w:start w:val="1"/>
      <w:numFmt w:val="lowerLetter"/>
      <w:lvlText w:val="%2."/>
      <w:lvlJc w:val="left"/>
      <w:pPr>
        <w:ind w:left="1440" w:hanging="360"/>
      </w:pPr>
    </w:lvl>
    <w:lvl w:ilvl="2" w:tplc="97B463F6">
      <w:start w:val="1"/>
      <w:numFmt w:val="lowerRoman"/>
      <w:lvlText w:val="%3."/>
      <w:lvlJc w:val="right"/>
      <w:pPr>
        <w:ind w:left="2160" w:hanging="180"/>
      </w:pPr>
    </w:lvl>
    <w:lvl w:ilvl="3" w:tplc="4F9EE00E">
      <w:start w:val="1"/>
      <w:numFmt w:val="decimal"/>
      <w:lvlText w:val="%4."/>
      <w:lvlJc w:val="left"/>
      <w:pPr>
        <w:ind w:left="2880" w:hanging="360"/>
      </w:pPr>
    </w:lvl>
    <w:lvl w:ilvl="4" w:tplc="392A8412">
      <w:start w:val="1"/>
      <w:numFmt w:val="lowerLetter"/>
      <w:lvlText w:val="%5."/>
      <w:lvlJc w:val="left"/>
      <w:pPr>
        <w:ind w:left="3600" w:hanging="360"/>
      </w:pPr>
    </w:lvl>
    <w:lvl w:ilvl="5" w:tplc="4AD43602">
      <w:start w:val="1"/>
      <w:numFmt w:val="lowerRoman"/>
      <w:lvlText w:val="%6."/>
      <w:lvlJc w:val="right"/>
      <w:pPr>
        <w:ind w:left="4320" w:hanging="180"/>
      </w:pPr>
    </w:lvl>
    <w:lvl w:ilvl="6" w:tplc="37DC7370">
      <w:start w:val="1"/>
      <w:numFmt w:val="decimal"/>
      <w:lvlText w:val="%7."/>
      <w:lvlJc w:val="left"/>
      <w:pPr>
        <w:ind w:left="5040" w:hanging="360"/>
      </w:pPr>
    </w:lvl>
    <w:lvl w:ilvl="7" w:tplc="F2402AFA">
      <w:start w:val="1"/>
      <w:numFmt w:val="lowerLetter"/>
      <w:lvlText w:val="%8."/>
      <w:lvlJc w:val="left"/>
      <w:pPr>
        <w:ind w:left="5760" w:hanging="360"/>
      </w:pPr>
    </w:lvl>
    <w:lvl w:ilvl="8" w:tplc="3B70B3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D1BF8"/>
    <w:multiLevelType w:val="hybridMultilevel"/>
    <w:tmpl w:val="422AABE2"/>
    <w:lvl w:ilvl="0" w:tplc="B1C2F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86A12">
      <w:start w:val="1"/>
      <w:numFmt w:val="lowerLetter"/>
      <w:lvlText w:val="%2."/>
      <w:lvlJc w:val="left"/>
      <w:pPr>
        <w:ind w:left="1440" w:hanging="360"/>
      </w:pPr>
    </w:lvl>
    <w:lvl w:ilvl="2" w:tplc="ACA48F1A">
      <w:start w:val="1"/>
      <w:numFmt w:val="lowerRoman"/>
      <w:lvlText w:val="%3."/>
      <w:lvlJc w:val="right"/>
      <w:pPr>
        <w:ind w:left="2160" w:hanging="180"/>
      </w:pPr>
    </w:lvl>
    <w:lvl w:ilvl="3" w:tplc="783C1EDA">
      <w:start w:val="1"/>
      <w:numFmt w:val="decimal"/>
      <w:lvlText w:val="%4."/>
      <w:lvlJc w:val="left"/>
      <w:pPr>
        <w:ind w:left="2880" w:hanging="360"/>
      </w:pPr>
    </w:lvl>
    <w:lvl w:ilvl="4" w:tplc="090C955C">
      <w:start w:val="1"/>
      <w:numFmt w:val="lowerLetter"/>
      <w:lvlText w:val="%5."/>
      <w:lvlJc w:val="left"/>
      <w:pPr>
        <w:ind w:left="3600" w:hanging="360"/>
      </w:pPr>
    </w:lvl>
    <w:lvl w:ilvl="5" w:tplc="6DEA3DE6">
      <w:start w:val="1"/>
      <w:numFmt w:val="lowerRoman"/>
      <w:lvlText w:val="%6."/>
      <w:lvlJc w:val="right"/>
      <w:pPr>
        <w:ind w:left="4320" w:hanging="180"/>
      </w:pPr>
    </w:lvl>
    <w:lvl w:ilvl="6" w:tplc="09EE6980">
      <w:start w:val="1"/>
      <w:numFmt w:val="decimal"/>
      <w:lvlText w:val="%7."/>
      <w:lvlJc w:val="left"/>
      <w:pPr>
        <w:ind w:left="5040" w:hanging="360"/>
      </w:pPr>
    </w:lvl>
    <w:lvl w:ilvl="7" w:tplc="D67CF2DC">
      <w:start w:val="1"/>
      <w:numFmt w:val="lowerLetter"/>
      <w:lvlText w:val="%8."/>
      <w:lvlJc w:val="left"/>
      <w:pPr>
        <w:ind w:left="5760" w:hanging="360"/>
      </w:pPr>
    </w:lvl>
    <w:lvl w:ilvl="8" w:tplc="6BA298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F107D"/>
    <w:multiLevelType w:val="hybridMultilevel"/>
    <w:tmpl w:val="5E486930"/>
    <w:lvl w:ilvl="0" w:tplc="D514E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AA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1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26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3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20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00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C8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85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F0C82"/>
    <w:multiLevelType w:val="multilevel"/>
    <w:tmpl w:val="FF842D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AC77EA"/>
    <w:multiLevelType w:val="hybridMultilevel"/>
    <w:tmpl w:val="18B88F82"/>
    <w:lvl w:ilvl="0" w:tplc="91BE8A4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A14441"/>
    <w:multiLevelType w:val="hybridMultilevel"/>
    <w:tmpl w:val="7ED42260"/>
    <w:lvl w:ilvl="0" w:tplc="0984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DA3730">
      <w:start w:val="1"/>
      <w:numFmt w:val="lowerLetter"/>
      <w:lvlText w:val="%2."/>
      <w:lvlJc w:val="left"/>
      <w:pPr>
        <w:ind w:left="1789" w:hanging="360"/>
      </w:pPr>
    </w:lvl>
    <w:lvl w:ilvl="2" w:tplc="81865692">
      <w:start w:val="1"/>
      <w:numFmt w:val="lowerRoman"/>
      <w:lvlText w:val="%3."/>
      <w:lvlJc w:val="right"/>
      <w:pPr>
        <w:ind w:left="2509" w:hanging="180"/>
      </w:pPr>
    </w:lvl>
    <w:lvl w:ilvl="3" w:tplc="7C7C0678">
      <w:start w:val="1"/>
      <w:numFmt w:val="decimal"/>
      <w:lvlText w:val="%4."/>
      <w:lvlJc w:val="left"/>
      <w:pPr>
        <w:ind w:left="3229" w:hanging="360"/>
      </w:pPr>
    </w:lvl>
    <w:lvl w:ilvl="4" w:tplc="8122824A">
      <w:start w:val="1"/>
      <w:numFmt w:val="lowerLetter"/>
      <w:lvlText w:val="%5."/>
      <w:lvlJc w:val="left"/>
      <w:pPr>
        <w:ind w:left="3949" w:hanging="360"/>
      </w:pPr>
    </w:lvl>
    <w:lvl w:ilvl="5" w:tplc="DF28B6B0">
      <w:start w:val="1"/>
      <w:numFmt w:val="lowerRoman"/>
      <w:lvlText w:val="%6."/>
      <w:lvlJc w:val="right"/>
      <w:pPr>
        <w:ind w:left="4669" w:hanging="180"/>
      </w:pPr>
    </w:lvl>
    <w:lvl w:ilvl="6" w:tplc="1780FA32">
      <w:start w:val="1"/>
      <w:numFmt w:val="decimal"/>
      <w:lvlText w:val="%7."/>
      <w:lvlJc w:val="left"/>
      <w:pPr>
        <w:ind w:left="5389" w:hanging="360"/>
      </w:pPr>
    </w:lvl>
    <w:lvl w:ilvl="7" w:tplc="F188A002">
      <w:start w:val="1"/>
      <w:numFmt w:val="lowerLetter"/>
      <w:lvlText w:val="%8."/>
      <w:lvlJc w:val="left"/>
      <w:pPr>
        <w:ind w:left="6109" w:hanging="360"/>
      </w:pPr>
    </w:lvl>
    <w:lvl w:ilvl="8" w:tplc="0FB4D2D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F42759"/>
    <w:multiLevelType w:val="hybridMultilevel"/>
    <w:tmpl w:val="99140B18"/>
    <w:lvl w:ilvl="0" w:tplc="179411E8">
      <w:start w:val="1"/>
      <w:numFmt w:val="decimal"/>
      <w:lvlText w:val="%1."/>
      <w:lvlJc w:val="left"/>
      <w:pPr>
        <w:ind w:left="720" w:hanging="360"/>
      </w:pPr>
    </w:lvl>
    <w:lvl w:ilvl="1" w:tplc="3A6A43F6">
      <w:start w:val="1"/>
      <w:numFmt w:val="lowerLetter"/>
      <w:lvlText w:val="%2."/>
      <w:lvlJc w:val="left"/>
      <w:pPr>
        <w:ind w:left="1440" w:hanging="360"/>
      </w:pPr>
    </w:lvl>
    <w:lvl w:ilvl="2" w:tplc="AEF8CD34">
      <w:start w:val="1"/>
      <w:numFmt w:val="lowerRoman"/>
      <w:lvlText w:val="%3."/>
      <w:lvlJc w:val="right"/>
      <w:pPr>
        <w:ind w:left="2160" w:hanging="180"/>
      </w:pPr>
    </w:lvl>
    <w:lvl w:ilvl="3" w:tplc="C4AA5318">
      <w:start w:val="1"/>
      <w:numFmt w:val="decimal"/>
      <w:lvlText w:val="%4."/>
      <w:lvlJc w:val="left"/>
      <w:pPr>
        <w:ind w:left="2880" w:hanging="360"/>
      </w:pPr>
    </w:lvl>
    <w:lvl w:ilvl="4" w:tplc="3C9446DE">
      <w:start w:val="1"/>
      <w:numFmt w:val="lowerLetter"/>
      <w:lvlText w:val="%5."/>
      <w:lvlJc w:val="left"/>
      <w:pPr>
        <w:ind w:left="3600" w:hanging="360"/>
      </w:pPr>
    </w:lvl>
    <w:lvl w:ilvl="5" w:tplc="05F84DFC">
      <w:start w:val="1"/>
      <w:numFmt w:val="lowerRoman"/>
      <w:lvlText w:val="%6."/>
      <w:lvlJc w:val="right"/>
      <w:pPr>
        <w:ind w:left="4320" w:hanging="180"/>
      </w:pPr>
    </w:lvl>
    <w:lvl w:ilvl="6" w:tplc="48649ECC">
      <w:start w:val="1"/>
      <w:numFmt w:val="decimal"/>
      <w:lvlText w:val="%7."/>
      <w:lvlJc w:val="left"/>
      <w:pPr>
        <w:ind w:left="5040" w:hanging="360"/>
      </w:pPr>
    </w:lvl>
    <w:lvl w:ilvl="7" w:tplc="A09AA202">
      <w:start w:val="1"/>
      <w:numFmt w:val="lowerLetter"/>
      <w:lvlText w:val="%8."/>
      <w:lvlJc w:val="left"/>
      <w:pPr>
        <w:ind w:left="5760" w:hanging="360"/>
      </w:pPr>
    </w:lvl>
    <w:lvl w:ilvl="8" w:tplc="C2E458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6666"/>
    <w:multiLevelType w:val="hybridMultilevel"/>
    <w:tmpl w:val="5748EC68"/>
    <w:lvl w:ilvl="0" w:tplc="15FCB7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7CE21E0">
      <w:start w:val="1"/>
      <w:numFmt w:val="lowerLetter"/>
      <w:lvlText w:val="%2."/>
      <w:lvlJc w:val="left"/>
      <w:pPr>
        <w:ind w:left="1790" w:hanging="360"/>
      </w:pPr>
    </w:lvl>
    <w:lvl w:ilvl="2" w:tplc="FFE481D0">
      <w:start w:val="1"/>
      <w:numFmt w:val="lowerRoman"/>
      <w:lvlText w:val="%3."/>
      <w:lvlJc w:val="right"/>
      <w:pPr>
        <w:ind w:left="2510" w:hanging="180"/>
      </w:pPr>
    </w:lvl>
    <w:lvl w:ilvl="3" w:tplc="AECA080A">
      <w:start w:val="1"/>
      <w:numFmt w:val="decimal"/>
      <w:lvlText w:val="%4."/>
      <w:lvlJc w:val="left"/>
      <w:pPr>
        <w:ind w:left="3230" w:hanging="360"/>
      </w:pPr>
    </w:lvl>
    <w:lvl w:ilvl="4" w:tplc="D1F8ADE8">
      <w:start w:val="1"/>
      <w:numFmt w:val="lowerLetter"/>
      <w:lvlText w:val="%5."/>
      <w:lvlJc w:val="left"/>
      <w:pPr>
        <w:ind w:left="3950" w:hanging="360"/>
      </w:pPr>
    </w:lvl>
    <w:lvl w:ilvl="5" w:tplc="07C09740">
      <w:start w:val="1"/>
      <w:numFmt w:val="lowerRoman"/>
      <w:lvlText w:val="%6."/>
      <w:lvlJc w:val="right"/>
      <w:pPr>
        <w:ind w:left="4670" w:hanging="180"/>
      </w:pPr>
    </w:lvl>
    <w:lvl w:ilvl="6" w:tplc="ED2EBFD6">
      <w:start w:val="1"/>
      <w:numFmt w:val="decimal"/>
      <w:lvlText w:val="%7."/>
      <w:lvlJc w:val="left"/>
      <w:pPr>
        <w:ind w:left="5390" w:hanging="360"/>
      </w:pPr>
    </w:lvl>
    <w:lvl w:ilvl="7" w:tplc="06740C48">
      <w:start w:val="1"/>
      <w:numFmt w:val="lowerLetter"/>
      <w:lvlText w:val="%8."/>
      <w:lvlJc w:val="left"/>
      <w:pPr>
        <w:ind w:left="6110" w:hanging="360"/>
      </w:pPr>
    </w:lvl>
    <w:lvl w:ilvl="8" w:tplc="83DADBF4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9525CF4"/>
    <w:multiLevelType w:val="hybridMultilevel"/>
    <w:tmpl w:val="93ACA776"/>
    <w:lvl w:ilvl="0" w:tplc="0B68FBE0">
      <w:start w:val="1"/>
      <w:numFmt w:val="decimal"/>
      <w:lvlText w:val="%1."/>
      <w:lvlJc w:val="left"/>
      <w:pPr>
        <w:ind w:left="720" w:hanging="360"/>
      </w:pPr>
    </w:lvl>
    <w:lvl w:ilvl="1" w:tplc="75CC9862">
      <w:start w:val="1"/>
      <w:numFmt w:val="lowerLetter"/>
      <w:lvlText w:val="%2."/>
      <w:lvlJc w:val="left"/>
      <w:pPr>
        <w:ind w:left="1440" w:hanging="360"/>
      </w:pPr>
    </w:lvl>
    <w:lvl w:ilvl="2" w:tplc="63A424A4">
      <w:start w:val="1"/>
      <w:numFmt w:val="lowerRoman"/>
      <w:lvlText w:val="%3."/>
      <w:lvlJc w:val="right"/>
      <w:pPr>
        <w:ind w:left="2160" w:hanging="180"/>
      </w:pPr>
    </w:lvl>
    <w:lvl w:ilvl="3" w:tplc="FAC26EDC">
      <w:start w:val="1"/>
      <w:numFmt w:val="decimal"/>
      <w:lvlText w:val="%4."/>
      <w:lvlJc w:val="left"/>
      <w:pPr>
        <w:ind w:left="2880" w:hanging="360"/>
      </w:pPr>
    </w:lvl>
    <w:lvl w:ilvl="4" w:tplc="4592671E">
      <w:start w:val="1"/>
      <w:numFmt w:val="lowerLetter"/>
      <w:lvlText w:val="%5."/>
      <w:lvlJc w:val="left"/>
      <w:pPr>
        <w:ind w:left="3600" w:hanging="360"/>
      </w:pPr>
    </w:lvl>
    <w:lvl w:ilvl="5" w:tplc="81983D9A">
      <w:start w:val="1"/>
      <w:numFmt w:val="lowerRoman"/>
      <w:lvlText w:val="%6."/>
      <w:lvlJc w:val="right"/>
      <w:pPr>
        <w:ind w:left="4320" w:hanging="180"/>
      </w:pPr>
    </w:lvl>
    <w:lvl w:ilvl="6" w:tplc="99189840">
      <w:start w:val="1"/>
      <w:numFmt w:val="decimal"/>
      <w:lvlText w:val="%7."/>
      <w:lvlJc w:val="left"/>
      <w:pPr>
        <w:ind w:left="5040" w:hanging="360"/>
      </w:pPr>
    </w:lvl>
    <w:lvl w:ilvl="7" w:tplc="4580A6B6">
      <w:start w:val="1"/>
      <w:numFmt w:val="lowerLetter"/>
      <w:lvlText w:val="%8."/>
      <w:lvlJc w:val="left"/>
      <w:pPr>
        <w:ind w:left="5760" w:hanging="360"/>
      </w:pPr>
    </w:lvl>
    <w:lvl w:ilvl="8" w:tplc="1F6A7F4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11F6B"/>
    <w:multiLevelType w:val="hybridMultilevel"/>
    <w:tmpl w:val="0BF4D802"/>
    <w:lvl w:ilvl="0" w:tplc="70E6B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AA3C4E">
      <w:start w:val="1"/>
      <w:numFmt w:val="lowerLetter"/>
      <w:lvlText w:val="%2."/>
      <w:lvlJc w:val="left"/>
      <w:pPr>
        <w:ind w:left="1440" w:hanging="360"/>
      </w:pPr>
    </w:lvl>
    <w:lvl w:ilvl="2" w:tplc="DCAAFA08">
      <w:start w:val="1"/>
      <w:numFmt w:val="lowerRoman"/>
      <w:lvlText w:val="%3."/>
      <w:lvlJc w:val="right"/>
      <w:pPr>
        <w:ind w:left="2160" w:hanging="180"/>
      </w:pPr>
    </w:lvl>
    <w:lvl w:ilvl="3" w:tplc="86EED24C">
      <w:start w:val="1"/>
      <w:numFmt w:val="decimal"/>
      <w:lvlText w:val="%4."/>
      <w:lvlJc w:val="left"/>
      <w:pPr>
        <w:ind w:left="2880" w:hanging="360"/>
      </w:pPr>
    </w:lvl>
    <w:lvl w:ilvl="4" w:tplc="26387AA6">
      <w:start w:val="1"/>
      <w:numFmt w:val="lowerLetter"/>
      <w:lvlText w:val="%5."/>
      <w:lvlJc w:val="left"/>
      <w:pPr>
        <w:ind w:left="3600" w:hanging="360"/>
      </w:pPr>
    </w:lvl>
    <w:lvl w:ilvl="5" w:tplc="AFC45D1E">
      <w:start w:val="1"/>
      <w:numFmt w:val="lowerRoman"/>
      <w:lvlText w:val="%6."/>
      <w:lvlJc w:val="right"/>
      <w:pPr>
        <w:ind w:left="4320" w:hanging="180"/>
      </w:pPr>
    </w:lvl>
    <w:lvl w:ilvl="6" w:tplc="CF348522">
      <w:start w:val="1"/>
      <w:numFmt w:val="decimal"/>
      <w:lvlText w:val="%7."/>
      <w:lvlJc w:val="left"/>
      <w:pPr>
        <w:ind w:left="5040" w:hanging="360"/>
      </w:pPr>
    </w:lvl>
    <w:lvl w:ilvl="7" w:tplc="0C2C6212">
      <w:start w:val="1"/>
      <w:numFmt w:val="lowerLetter"/>
      <w:lvlText w:val="%8."/>
      <w:lvlJc w:val="left"/>
      <w:pPr>
        <w:ind w:left="5760" w:hanging="360"/>
      </w:pPr>
    </w:lvl>
    <w:lvl w:ilvl="8" w:tplc="BE4AB5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94BE6"/>
    <w:multiLevelType w:val="multilevel"/>
    <w:tmpl w:val="3C04E0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5F5A5A"/>
    <w:multiLevelType w:val="multilevel"/>
    <w:tmpl w:val="B498BC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BE7C61"/>
    <w:multiLevelType w:val="hybridMultilevel"/>
    <w:tmpl w:val="DDFA3C94"/>
    <w:lvl w:ilvl="0" w:tplc="5BD0A81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9626AC">
      <w:start w:val="1"/>
      <w:numFmt w:val="lowerLetter"/>
      <w:lvlText w:val="%2."/>
      <w:lvlJc w:val="left"/>
      <w:pPr>
        <w:ind w:left="1790" w:hanging="360"/>
      </w:pPr>
    </w:lvl>
    <w:lvl w:ilvl="2" w:tplc="F8D251D6">
      <w:start w:val="1"/>
      <w:numFmt w:val="lowerRoman"/>
      <w:lvlText w:val="%3."/>
      <w:lvlJc w:val="right"/>
      <w:pPr>
        <w:ind w:left="2510" w:hanging="180"/>
      </w:pPr>
    </w:lvl>
    <w:lvl w:ilvl="3" w:tplc="044C1A0A">
      <w:start w:val="1"/>
      <w:numFmt w:val="decimal"/>
      <w:lvlText w:val="%4."/>
      <w:lvlJc w:val="left"/>
      <w:pPr>
        <w:ind w:left="3230" w:hanging="360"/>
      </w:pPr>
    </w:lvl>
    <w:lvl w:ilvl="4" w:tplc="4B44BE30">
      <w:start w:val="1"/>
      <w:numFmt w:val="lowerLetter"/>
      <w:lvlText w:val="%5."/>
      <w:lvlJc w:val="left"/>
      <w:pPr>
        <w:ind w:left="3950" w:hanging="360"/>
      </w:pPr>
    </w:lvl>
    <w:lvl w:ilvl="5" w:tplc="E68C1B04">
      <w:start w:val="1"/>
      <w:numFmt w:val="lowerRoman"/>
      <w:lvlText w:val="%6."/>
      <w:lvlJc w:val="right"/>
      <w:pPr>
        <w:ind w:left="4670" w:hanging="180"/>
      </w:pPr>
    </w:lvl>
    <w:lvl w:ilvl="6" w:tplc="D16EE736">
      <w:start w:val="1"/>
      <w:numFmt w:val="decimal"/>
      <w:lvlText w:val="%7."/>
      <w:lvlJc w:val="left"/>
      <w:pPr>
        <w:ind w:left="5390" w:hanging="360"/>
      </w:pPr>
    </w:lvl>
    <w:lvl w:ilvl="7" w:tplc="9D14AACC">
      <w:start w:val="1"/>
      <w:numFmt w:val="lowerLetter"/>
      <w:lvlText w:val="%8."/>
      <w:lvlJc w:val="left"/>
      <w:pPr>
        <w:ind w:left="6110" w:hanging="360"/>
      </w:pPr>
    </w:lvl>
    <w:lvl w:ilvl="8" w:tplc="C6AA0A54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7EC5B71"/>
    <w:multiLevelType w:val="hybridMultilevel"/>
    <w:tmpl w:val="84902E1A"/>
    <w:lvl w:ilvl="0" w:tplc="2A5C87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E4621264">
      <w:start w:val="1"/>
      <w:numFmt w:val="lowerLetter"/>
      <w:lvlText w:val="%2."/>
      <w:lvlJc w:val="left"/>
      <w:pPr>
        <w:ind w:left="1250" w:hanging="360"/>
      </w:pPr>
    </w:lvl>
    <w:lvl w:ilvl="2" w:tplc="C3EE3012">
      <w:start w:val="1"/>
      <w:numFmt w:val="lowerRoman"/>
      <w:lvlText w:val="%3."/>
      <w:lvlJc w:val="right"/>
      <w:pPr>
        <w:ind w:left="1970" w:hanging="180"/>
      </w:pPr>
    </w:lvl>
    <w:lvl w:ilvl="3" w:tplc="7AE4D87C">
      <w:start w:val="1"/>
      <w:numFmt w:val="decimal"/>
      <w:lvlText w:val="%4."/>
      <w:lvlJc w:val="left"/>
      <w:pPr>
        <w:ind w:left="2690" w:hanging="360"/>
      </w:pPr>
    </w:lvl>
    <w:lvl w:ilvl="4" w:tplc="A3628CF8">
      <w:start w:val="1"/>
      <w:numFmt w:val="lowerLetter"/>
      <w:lvlText w:val="%5."/>
      <w:lvlJc w:val="left"/>
      <w:pPr>
        <w:ind w:left="3410" w:hanging="360"/>
      </w:pPr>
    </w:lvl>
    <w:lvl w:ilvl="5" w:tplc="9E2EE8D4">
      <w:start w:val="1"/>
      <w:numFmt w:val="lowerRoman"/>
      <w:lvlText w:val="%6."/>
      <w:lvlJc w:val="right"/>
      <w:pPr>
        <w:ind w:left="4130" w:hanging="180"/>
      </w:pPr>
    </w:lvl>
    <w:lvl w:ilvl="6" w:tplc="8D1E5176">
      <w:start w:val="1"/>
      <w:numFmt w:val="decimal"/>
      <w:lvlText w:val="%7."/>
      <w:lvlJc w:val="left"/>
      <w:pPr>
        <w:ind w:left="4850" w:hanging="360"/>
      </w:pPr>
    </w:lvl>
    <w:lvl w:ilvl="7" w:tplc="81BED088">
      <w:start w:val="1"/>
      <w:numFmt w:val="lowerLetter"/>
      <w:lvlText w:val="%8."/>
      <w:lvlJc w:val="left"/>
      <w:pPr>
        <w:ind w:left="5570" w:hanging="360"/>
      </w:pPr>
    </w:lvl>
    <w:lvl w:ilvl="8" w:tplc="867265D8">
      <w:start w:val="1"/>
      <w:numFmt w:val="lowerRoman"/>
      <w:lvlText w:val="%9."/>
      <w:lvlJc w:val="right"/>
      <w:pPr>
        <w:ind w:left="6290" w:hanging="180"/>
      </w:pPr>
    </w:lvl>
  </w:abstractNum>
  <w:abstractNum w:abstractNumId="19">
    <w:nsid w:val="7A6F4C27"/>
    <w:multiLevelType w:val="multilevel"/>
    <w:tmpl w:val="E676E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C3C608C"/>
    <w:multiLevelType w:val="hybridMultilevel"/>
    <w:tmpl w:val="49E402DC"/>
    <w:lvl w:ilvl="0" w:tplc="11428C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1"/>
  </w:num>
  <w:num w:numId="19">
    <w:abstractNumId w:val="13"/>
  </w:num>
  <w:num w:numId="20">
    <w:abstractNumId w:val="9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7F"/>
    <w:rsid w:val="00016171"/>
    <w:rsid w:val="000246D5"/>
    <w:rsid w:val="000255C6"/>
    <w:rsid w:val="00123DDE"/>
    <w:rsid w:val="00162B26"/>
    <w:rsid w:val="00197655"/>
    <w:rsid w:val="001D2BD4"/>
    <w:rsid w:val="001E0A26"/>
    <w:rsid w:val="001F6827"/>
    <w:rsid w:val="002E684D"/>
    <w:rsid w:val="002E6FF8"/>
    <w:rsid w:val="00313DDF"/>
    <w:rsid w:val="003264B6"/>
    <w:rsid w:val="00341707"/>
    <w:rsid w:val="003812A6"/>
    <w:rsid w:val="003905DC"/>
    <w:rsid w:val="0041286E"/>
    <w:rsid w:val="004D782D"/>
    <w:rsid w:val="00502E09"/>
    <w:rsid w:val="00654CE4"/>
    <w:rsid w:val="006D3C53"/>
    <w:rsid w:val="00754DF5"/>
    <w:rsid w:val="007F7287"/>
    <w:rsid w:val="008C26E4"/>
    <w:rsid w:val="00932741"/>
    <w:rsid w:val="00940025"/>
    <w:rsid w:val="009F72EC"/>
    <w:rsid w:val="00A6048A"/>
    <w:rsid w:val="00A61184"/>
    <w:rsid w:val="00A867ED"/>
    <w:rsid w:val="00A91D7F"/>
    <w:rsid w:val="00AF39E6"/>
    <w:rsid w:val="00C16A30"/>
    <w:rsid w:val="00C17333"/>
    <w:rsid w:val="00CE0183"/>
    <w:rsid w:val="00D43BDD"/>
    <w:rsid w:val="00D67A99"/>
    <w:rsid w:val="00DA31F4"/>
    <w:rsid w:val="00EA5E35"/>
    <w:rsid w:val="00EF379F"/>
    <w:rsid w:val="00EF6CAD"/>
    <w:rsid w:val="00F648C6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link w:val="60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link w:val="70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f3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3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f4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b"/>
    <w:semiHidden/>
  </w:style>
  <w:style w:type="character" w:styleId="af5">
    <w:name w:val="footnote reference"/>
    <w:semiHidden/>
    <w:rPr>
      <w:vertAlign w:val="superscript"/>
    </w:rPr>
  </w:style>
  <w:style w:type="paragraph" w:styleId="26">
    <w:name w:val="Body Text Indent 2"/>
    <w:basedOn w:val="a"/>
    <w:pPr>
      <w:ind w:firstLine="426"/>
      <w:jc w:val="both"/>
    </w:pPr>
    <w:rPr>
      <w:sz w:val="26"/>
    </w:rPr>
  </w:style>
  <w:style w:type="paragraph" w:customStyle="1" w:styleId="13">
    <w:name w:val="Название1"/>
    <w:basedOn w:val="a"/>
    <w:qFormat/>
    <w:pPr>
      <w:jc w:val="center"/>
    </w:pPr>
    <w:rPr>
      <w:caps/>
      <w:sz w:val="26"/>
    </w:rPr>
  </w:style>
  <w:style w:type="character" w:styleId="af6">
    <w:name w:val="Hyperlink"/>
    <w:rPr>
      <w:color w:val="0000FF"/>
      <w:u w:val="single"/>
    </w:rPr>
  </w:style>
  <w:style w:type="paragraph" w:styleId="34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6"/>
    </w:rPr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f8">
    <w:name w:val="Верхний колонтитул Знак"/>
    <w:link w:val="af7"/>
    <w:uiPriority w:val="99"/>
    <w:rPr>
      <w:sz w:val="26"/>
    </w:rPr>
  </w:style>
  <w:style w:type="paragraph" w:customStyle="1" w:styleId="ConsPlusNormal">
    <w:name w:val="ConsPlusNormal"/>
    <w:rPr>
      <w:sz w:val="26"/>
      <w:szCs w:val="26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f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Arial Narrow" w:hAnsi="Arial Narrow"/>
      <w:b/>
      <w:sz w:val="16"/>
    </w:rPr>
  </w:style>
  <w:style w:type="table" w:customStyle="1" w:styleId="14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b/>
      <w:bCs/>
    </w:rPr>
  </w:style>
  <w:style w:type="paragraph" w:styleId="aff5">
    <w:name w:val="Revision"/>
    <w:hidden/>
    <w:uiPriority w:val="99"/>
    <w:semiHidden/>
  </w:style>
  <w:style w:type="character" w:customStyle="1" w:styleId="aff6">
    <w:name w:val="Основной текст_"/>
    <w:basedOn w:val="a0"/>
    <w:link w:val="35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6"/>
    <w:rPr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6"/>
    <w:pPr>
      <w:widowControl w:val="0"/>
      <w:shd w:val="clear" w:color="auto" w:fill="FFFFFF"/>
      <w:spacing w:line="482" w:lineRule="exact"/>
      <w:jc w:val="both"/>
    </w:pPr>
    <w:rPr>
      <w:sz w:val="26"/>
      <w:szCs w:val="26"/>
    </w:rPr>
  </w:style>
  <w:style w:type="table" w:customStyle="1" w:styleId="36">
    <w:name w:val="Сетка таблицы3"/>
    <w:basedOn w:val="a1"/>
    <w:next w:val="af9"/>
    <w:uiPriority w:val="39"/>
    <w:rsid w:val="0093274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link w:val="60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link w:val="70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f3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3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f4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b"/>
    <w:semiHidden/>
  </w:style>
  <w:style w:type="character" w:styleId="af5">
    <w:name w:val="footnote reference"/>
    <w:semiHidden/>
    <w:rPr>
      <w:vertAlign w:val="superscript"/>
    </w:rPr>
  </w:style>
  <w:style w:type="paragraph" w:styleId="26">
    <w:name w:val="Body Text Indent 2"/>
    <w:basedOn w:val="a"/>
    <w:pPr>
      <w:ind w:firstLine="426"/>
      <w:jc w:val="both"/>
    </w:pPr>
    <w:rPr>
      <w:sz w:val="26"/>
    </w:rPr>
  </w:style>
  <w:style w:type="paragraph" w:customStyle="1" w:styleId="13">
    <w:name w:val="Название1"/>
    <w:basedOn w:val="a"/>
    <w:qFormat/>
    <w:pPr>
      <w:jc w:val="center"/>
    </w:pPr>
    <w:rPr>
      <w:caps/>
      <w:sz w:val="26"/>
    </w:rPr>
  </w:style>
  <w:style w:type="character" w:styleId="af6">
    <w:name w:val="Hyperlink"/>
    <w:rPr>
      <w:color w:val="0000FF"/>
      <w:u w:val="single"/>
    </w:rPr>
  </w:style>
  <w:style w:type="paragraph" w:styleId="34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6"/>
    </w:rPr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f8">
    <w:name w:val="Верхний колонтитул Знак"/>
    <w:link w:val="af7"/>
    <w:uiPriority w:val="99"/>
    <w:rPr>
      <w:sz w:val="26"/>
    </w:rPr>
  </w:style>
  <w:style w:type="paragraph" w:customStyle="1" w:styleId="ConsPlusNormal">
    <w:name w:val="ConsPlusNormal"/>
    <w:rPr>
      <w:sz w:val="26"/>
      <w:szCs w:val="26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f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Arial Narrow" w:hAnsi="Arial Narrow"/>
      <w:b/>
      <w:sz w:val="16"/>
    </w:rPr>
  </w:style>
  <w:style w:type="table" w:customStyle="1" w:styleId="14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b/>
      <w:bCs/>
    </w:rPr>
  </w:style>
  <w:style w:type="paragraph" w:styleId="aff5">
    <w:name w:val="Revision"/>
    <w:hidden/>
    <w:uiPriority w:val="99"/>
    <w:semiHidden/>
  </w:style>
  <w:style w:type="character" w:customStyle="1" w:styleId="aff6">
    <w:name w:val="Основной текст_"/>
    <w:basedOn w:val="a0"/>
    <w:link w:val="35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6"/>
    <w:rPr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6"/>
    <w:pPr>
      <w:widowControl w:val="0"/>
      <w:shd w:val="clear" w:color="auto" w:fill="FFFFFF"/>
      <w:spacing w:line="482" w:lineRule="exact"/>
      <w:jc w:val="both"/>
    </w:pPr>
    <w:rPr>
      <w:sz w:val="26"/>
      <w:szCs w:val="26"/>
    </w:rPr>
  </w:style>
  <w:style w:type="table" w:customStyle="1" w:styleId="36">
    <w:name w:val="Сетка таблицы3"/>
    <w:basedOn w:val="a1"/>
    <w:next w:val="af9"/>
    <w:uiPriority w:val="39"/>
    <w:rsid w:val="0093274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D9F5-2144-43E9-9A3C-CCD3D609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35</Pages>
  <Words>7541</Words>
  <Characters>42985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50426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creator>Харчук Елена Леонидовна</dc:creator>
  <cp:lastModifiedBy>Сергеева Татьяна Михайловна</cp:lastModifiedBy>
  <cp:revision>4</cp:revision>
  <cp:lastPrinted>2023-08-08T02:05:00Z</cp:lastPrinted>
  <dcterms:created xsi:type="dcterms:W3CDTF">2025-01-10T06:35:00Z</dcterms:created>
  <dcterms:modified xsi:type="dcterms:W3CDTF">2025-07-01T01:31:00Z</dcterms:modified>
</cp:coreProperties>
</file>